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B5C" w:rsidRDefault="00DE1B5C" w:rsidP="000D5254">
      <w:pPr>
        <w:pStyle w:val="Intestazione"/>
        <w:ind w:left="-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editId="4568F007">
            <wp:simplePos x="0" y="0"/>
            <wp:positionH relativeFrom="column">
              <wp:posOffset>2593975</wp:posOffset>
            </wp:positionH>
            <wp:positionV relativeFrom="paragraph">
              <wp:posOffset>0</wp:posOffset>
            </wp:positionV>
            <wp:extent cx="846455" cy="88138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33" t="-2051" r="-2133" b="-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81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254" w:rsidRDefault="000D5254" w:rsidP="000D5254">
      <w:pPr>
        <w:pStyle w:val="Intestazione"/>
        <w:rPr>
          <w:sz w:val="24"/>
          <w:szCs w:val="24"/>
        </w:rPr>
      </w:pPr>
    </w:p>
    <w:p w:rsidR="00DE1B5C" w:rsidRDefault="00DE1B5C" w:rsidP="000D5254">
      <w:pPr>
        <w:pStyle w:val="Intestazione"/>
        <w:rPr>
          <w:sz w:val="24"/>
          <w:szCs w:val="24"/>
        </w:rPr>
      </w:pPr>
    </w:p>
    <w:p w:rsidR="00DE1B5C" w:rsidRDefault="00DE1B5C" w:rsidP="000D5254">
      <w:pPr>
        <w:pStyle w:val="Intestazione"/>
        <w:rPr>
          <w:sz w:val="24"/>
          <w:szCs w:val="24"/>
        </w:rPr>
      </w:pPr>
    </w:p>
    <w:p w:rsidR="00DE1B5C" w:rsidRDefault="00DE1B5C" w:rsidP="000D5254">
      <w:pPr>
        <w:pStyle w:val="Intestazione"/>
        <w:rPr>
          <w:sz w:val="24"/>
          <w:szCs w:val="24"/>
        </w:rPr>
      </w:pPr>
    </w:p>
    <w:p w:rsidR="00DE1B5C" w:rsidRDefault="00DE1B5C" w:rsidP="000D5254">
      <w:pPr>
        <w:pStyle w:val="Intestazione"/>
        <w:rPr>
          <w:sz w:val="24"/>
          <w:szCs w:val="24"/>
        </w:rPr>
      </w:pPr>
    </w:p>
    <w:p w:rsidR="00DE1B5C" w:rsidRDefault="00DE1B5C" w:rsidP="00DE1B5C">
      <w:pPr>
        <w:pStyle w:val="Intestazione"/>
        <w:ind w:left="-709"/>
        <w:jc w:val="center"/>
        <w:rPr>
          <w:sz w:val="24"/>
          <w:szCs w:val="24"/>
        </w:rPr>
      </w:pPr>
      <w:r>
        <w:rPr>
          <w:sz w:val="24"/>
          <w:szCs w:val="24"/>
        </w:rPr>
        <w:t>COMUNE DI MADDALONI</w:t>
      </w:r>
    </w:p>
    <w:p w:rsidR="00DE1B5C" w:rsidRDefault="00DE1B5C" w:rsidP="00DE1B5C">
      <w:pPr>
        <w:pStyle w:val="Intestazione"/>
        <w:ind w:left="-709"/>
        <w:jc w:val="center"/>
      </w:pPr>
      <w:r>
        <w:rPr>
          <w:sz w:val="24"/>
          <w:szCs w:val="24"/>
        </w:rPr>
        <w:t>Provincia di Caserta</w:t>
      </w:r>
    </w:p>
    <w:p w:rsidR="00DE1B5C" w:rsidRDefault="00DE1B5C" w:rsidP="00DE1B5C">
      <w:pPr>
        <w:pStyle w:val="Intestazione"/>
        <w:ind w:left="-709"/>
      </w:pPr>
      <w:r>
        <w:rPr>
          <w:sz w:val="24"/>
          <w:szCs w:val="24"/>
        </w:rPr>
        <w:tab/>
        <w:t>Via S. Francesco d’Assisi, n. 36</w:t>
      </w:r>
    </w:p>
    <w:p w:rsidR="00DE1B5C" w:rsidRDefault="00DE1B5C" w:rsidP="00DE1B5C">
      <w:pPr>
        <w:pStyle w:val="Intestazione"/>
        <w:ind w:left="-709"/>
      </w:pPr>
      <w:r>
        <w:rPr>
          <w:sz w:val="24"/>
          <w:szCs w:val="24"/>
        </w:rPr>
        <w:tab/>
        <w:t>C. F. 80004330611 – P.I. 00136920618</w:t>
      </w:r>
    </w:p>
    <w:p w:rsidR="00DE1B5C" w:rsidRDefault="00DE1B5C" w:rsidP="00DE1B5C">
      <w:pPr>
        <w:pStyle w:val="Intestazione"/>
        <w:rPr>
          <w:sz w:val="24"/>
          <w:szCs w:val="24"/>
        </w:rPr>
      </w:pPr>
    </w:p>
    <w:p w:rsidR="001F7C6D" w:rsidRDefault="001F7C6D" w:rsidP="001F7C6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F7C6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AVVISO PUBBLICO</w:t>
      </w:r>
    </w:p>
    <w:p w:rsidR="00C17ECE" w:rsidRPr="001F7C6D" w:rsidRDefault="00C17ECE" w:rsidP="001F7C6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CF3BD5" w:rsidRPr="001F7C6D" w:rsidRDefault="001F7C6D" w:rsidP="001F7C6D">
      <w:pPr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F7C6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D.D.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Regione Campania </w:t>
      </w:r>
      <w:r w:rsidRPr="001F7C6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n. 27 del 28-03-2023 - Fondo di Solidarietà inquilini E.R.P.</w:t>
      </w:r>
    </w:p>
    <w:p w:rsidR="00316251" w:rsidRDefault="00316251" w:rsidP="001F7C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C6D" w:rsidRDefault="001F7C6D" w:rsidP="001F7C6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7C6D">
        <w:rPr>
          <w:rFonts w:ascii="Times New Roman" w:hAnsi="Times New Roman" w:cs="Times New Roman"/>
          <w:sz w:val="28"/>
          <w:szCs w:val="28"/>
        </w:rPr>
        <w:t xml:space="preserve">Determina Servizi </w:t>
      </w:r>
      <w:proofErr w:type="gramStart"/>
      <w:r w:rsidRPr="001F7C6D">
        <w:rPr>
          <w:rFonts w:ascii="Times New Roman" w:hAnsi="Times New Roman" w:cs="Times New Roman"/>
          <w:sz w:val="28"/>
          <w:szCs w:val="28"/>
        </w:rPr>
        <w:t>Sociali  n.</w:t>
      </w:r>
      <w:proofErr w:type="gramEnd"/>
      <w:r w:rsidRPr="001F7C6D">
        <w:rPr>
          <w:rFonts w:ascii="Times New Roman" w:hAnsi="Times New Roman" w:cs="Times New Roman"/>
          <w:sz w:val="28"/>
          <w:szCs w:val="28"/>
        </w:rPr>
        <w:t>_______ del _______________</w:t>
      </w:r>
    </w:p>
    <w:p w:rsidR="001670BC" w:rsidRDefault="001670BC" w:rsidP="001F7C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0BC" w:rsidRDefault="001670BC" w:rsidP="00167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0BC" w:rsidRDefault="001670BC" w:rsidP="001670B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Si avvisa l’utenza interessata che, </w:t>
      </w: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con </w:t>
      </w: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</w:t>
      </w: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ecreto</w:t>
      </w:r>
      <w:proofErr w:type="gramEnd"/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</w:t>
      </w: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irigenziale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Regione Campania </w:t>
      </w: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n.584 del 18-09-2023, è riconosciuto un Contributo Regionale di Solidarietà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ai legittimi assegnatari di Edilizia Residenziale Pubblica (E.R.P.) in possesso, alla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data di pubblicazione dell’Avviso Pubblico della Regione Campania, unitamente a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tutti i componenti del nucleo familiare, dei requisiti minimi previsti dall’allegato A di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1670B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cui al Decreto Dirigenziale n. 27 del 28-03-2023.</w:t>
      </w:r>
    </w:p>
    <w:p w:rsidR="001670BC" w:rsidRDefault="001670BC" w:rsidP="001670B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1670BC" w:rsidRDefault="001670BC" w:rsidP="00C17EC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Il contributo è finalizzato  </w:t>
      </w:r>
      <w:r w:rsidR="00C17ECE"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a reinserire in un percorso di</w:t>
      </w:r>
      <w:r w:rsid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17ECE"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legittimità gli assegnatari ERP che, seppur temporaneamente, si sono trovati in</w:t>
      </w:r>
      <w:r w:rsid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17ECE"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difficoltà nel rispettare gli obblighi di pagamento dei canoni di locazione, ma che sono</w:t>
      </w:r>
      <w:r w:rsid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17ECE"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disponibili a rientrare dalla morosità, anche tramite la formalizzazione </w:t>
      </w:r>
      <w:proofErr w:type="gramStart"/>
      <w:r w:rsidR="00C17ECE"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di </w:t>
      </w:r>
      <w:r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piani</w:t>
      </w:r>
      <w:proofErr w:type="gramEnd"/>
      <w:r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di rateizzo con</w:t>
      </w:r>
      <w:r w:rsid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gli Enti gestori </w:t>
      </w:r>
      <w:r w:rsidR="00C17EC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6A2120" w:rsidRDefault="006A2120" w:rsidP="00C17EC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6A2120" w:rsidRPr="006A2120" w:rsidRDefault="006A2120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Requisiti di accesso degli assegnatari</w:t>
      </w: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6A2120" w:rsidRPr="006A2120" w:rsidRDefault="006A2120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a) permanenza minima nell’alloggio di E.R.P. non inferiore a 12 mesi;</w:t>
      </w:r>
    </w:p>
    <w:p w:rsidR="006A2120" w:rsidRPr="006A2120" w:rsidRDefault="006A2120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b) essere moroso nei pagamenti del canone di locazione e/o delle spese comuni;</w:t>
      </w:r>
    </w:p>
    <w:p w:rsidR="006A2120" w:rsidRPr="006A2120" w:rsidRDefault="006A2120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c) non aver procedimenti di decadenza in corso, fatto salvo quanto previsto</w:t>
      </w:r>
      <w:r w:rsid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dall’articolo 23 del Regolamento Regionale n. 11 del 28-10-2019 e </w:t>
      </w:r>
      <w:proofErr w:type="spellStart"/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s.m.i.</w:t>
      </w:r>
      <w:proofErr w:type="spellEnd"/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;</w:t>
      </w:r>
    </w:p>
    <w:p w:rsidR="006A2120" w:rsidRPr="006A2120" w:rsidRDefault="006A2120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d) presentazione di un ISEE (ordinario o corrente) valido alla data di pubblicazione</w:t>
      </w:r>
      <w:r w:rsid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del bando, non superiore ad € 9.360,00;</w:t>
      </w:r>
    </w:p>
    <w:p w:rsidR="006A2120" w:rsidRDefault="006A2120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e) non aver ricevuto condanne passate in giudicato per reati associativi e/o per reati</w:t>
      </w:r>
      <w:r w:rsid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6A21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contro la Pubblica Amministrazione.</w:t>
      </w:r>
    </w:p>
    <w:p w:rsidR="00BF169F" w:rsidRPr="006A2120" w:rsidRDefault="00BF169F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6A2120" w:rsidRPr="00BF169F" w:rsidRDefault="006A2120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La concessione del contributo è subordinata alla sottoscrizione da parte del</w:t>
      </w:r>
      <w:r w:rsidR="00BF169F"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gramStart"/>
      <w:r w:rsidR="00BF169F"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richiedente </w:t>
      </w:r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di</w:t>
      </w:r>
      <w:proofErr w:type="gramEnd"/>
      <w:r w:rsidR="00BF169F"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un atto di riconoscimento del debito nei confronti del Comune di </w:t>
      </w:r>
      <w:r w:rsidR="00BF169F"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Maddaloni </w:t>
      </w:r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e di un</w:t>
      </w:r>
    </w:p>
    <w:p w:rsidR="00BF169F" w:rsidRPr="00BF169F" w:rsidRDefault="00BF169F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impegno al pagamento del debito, al netto del contributo, in un’unica soluzione o tramite la sottoscrizione di un piano di rateizzo conforme alle </w:t>
      </w:r>
      <w:proofErr w:type="gramStart"/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procedure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previste</w:t>
      </w:r>
      <w:proofErr w:type="gramEnd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dal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Regolamento Comunale </w:t>
      </w:r>
      <w:r w:rsidR="008539D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approvato con delibera di Consiglio Comunale n. 28 del 14.07.2020</w:t>
      </w:r>
      <w:r w:rsidR="00394F2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, pubblicato unitamente al presente avviso .</w:t>
      </w:r>
    </w:p>
    <w:p w:rsidR="00BF169F" w:rsidRPr="00BF169F" w:rsidRDefault="00BF169F" w:rsidP="00BF169F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Possono presentare istanza per l’accesso al contributo anche i soggetti che hanno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richiesto il subentro legittimo nell’assegnazione; in tal caso l’accesso al contributo è</w:t>
      </w:r>
    </w:p>
    <w:p w:rsidR="00BF169F" w:rsidRPr="00BF169F" w:rsidRDefault="00BF169F" w:rsidP="00BF169F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F169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subordinato all’adozione del provvedimento di subentro.</w:t>
      </w:r>
    </w:p>
    <w:p w:rsidR="0056022C" w:rsidRDefault="0056022C" w:rsidP="002D631E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Documentazione da produrre per l’accesso a</w:t>
      </w:r>
      <w:r w:rsidR="0056022C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l</w:t>
      </w:r>
      <w:r w:rsidRPr="0056022C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contribut</w:t>
      </w:r>
      <w:r w:rsidR="0056022C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o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 seguito della pubblicazione del presente avviso, l’assegnatario di E.R.P. deve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presentare, </w:t>
      </w:r>
      <w:r w:rsidRPr="00394F29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entro 31/12/2023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all’indirizzo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hyperlink r:id="rId5" w:history="1">
        <w:r w:rsidRPr="009963FB">
          <w:rPr>
            <w:rStyle w:val="Collegamentoipertestuale"/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protocollo@pec.comune.maddaloni.ce.it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la domanda per l’assegnazione del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contributo di solidarietà anche per il tramite delle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organizzazioni sindacali di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categoria e di centri di assistenza fiscale (C.A.F.).</w:t>
      </w: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Nella domanda di partecipazione regolarmente sottoscritta, il richiedente, unitamente</w:t>
      </w: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 tutti i componenti, del nucleo familiare, dichiara ai sensi del DPR n. 445/2000 il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possesso dei requisiti di cui al precedente punto.</w:t>
      </w: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Alla domanda di partecipazione deve essere allegata la seguente documentazione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pena l’esclusione:</w:t>
      </w: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copia del documento di riconoscimento in corso di validità del richiedente;</w:t>
      </w: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attestazione ISEE ordinaria o corrente valida alla data di presentazione dell’istanza;</w:t>
      </w: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elenco componenti nucleo familiare;</w:t>
      </w:r>
    </w:p>
    <w:p w:rsidR="002D631E" w:rsidRPr="002D631E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dichiarazione/i componenti nucleo familiare;</w:t>
      </w:r>
    </w:p>
    <w:p w:rsidR="00BF169F" w:rsidRDefault="002D631E" w:rsidP="002D63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D63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proposta rateizzazione debito;</w:t>
      </w:r>
    </w:p>
    <w:p w:rsid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56022C" w:rsidRP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Entità del contributo:</w:t>
      </w:r>
    </w:p>
    <w:p w:rsidR="0056022C" w:rsidRP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Il contributo oggetto del presente Avviso si configura come contributo “una tantum” a</w:t>
      </w:r>
    </w:p>
    <w:p w:rsidR="0056022C" w:rsidRP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fondo perduto destinato ai cittadini ed è pertanto compatibile con qualsiasi altra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misura statale, anche avente analoga finalità e non rileva ai fini degli aiuti di Stato.</w:t>
      </w:r>
    </w:p>
    <w:p w:rsid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L’importo del contributo concedibile, per le finalità del presente Avviso, può variare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da un minimo di € 1.000,00 ad un massimo di € 5.000,00 e può coprire fino all’80%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della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morosità</w:t>
      </w:r>
      <w:proofErr w:type="gramEnd"/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calcolata alla data di pubblicazione del presente Avviso.</w:t>
      </w:r>
    </w:p>
    <w:p w:rsidR="0056022C" w:rsidRP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Il contributo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assegnato è erogato in conto morosità all’atto del pagamento del debito ovvero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dall’ultima rata del piano di rateizzo.</w:t>
      </w:r>
    </w:p>
    <w:p w:rsid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56022C" w:rsidRP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704D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Cause di decadenza</w:t>
      </w: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56022C" w:rsidRP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Il diritto al contributo decade in caso di accertamento di dichiarazioni mendaci e nel</w:t>
      </w:r>
    </w:p>
    <w:p w:rsidR="0056022C" w:rsidRDefault="0056022C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6022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caso in cui l’istante non onori l’impegno dell’importo di morosità</w:t>
      </w:r>
      <w:r w:rsidR="00D704D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394F29" w:rsidRDefault="00394F29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94F29" w:rsidRDefault="00394F29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Maddaloni li, </w:t>
      </w:r>
    </w:p>
    <w:p w:rsidR="00394F29" w:rsidRDefault="00394F29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F250D3" w:rsidRDefault="00F250D3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F250D3" w:rsidRDefault="00F250D3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La Responsabile P.O.                                                                La Dirigente </w:t>
      </w:r>
    </w:p>
    <w:p w:rsidR="00F250D3" w:rsidRPr="0056022C" w:rsidRDefault="00F250D3" w:rsidP="0056022C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Dott.ssa Maddalena Varra                                                  Dott.ssa Antonella Ricciardi </w:t>
      </w:r>
    </w:p>
    <w:sectPr w:rsidR="00F250D3" w:rsidRPr="00560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82"/>
    <w:rsid w:val="000D5254"/>
    <w:rsid w:val="001670BC"/>
    <w:rsid w:val="001F7C6D"/>
    <w:rsid w:val="00222182"/>
    <w:rsid w:val="002D631E"/>
    <w:rsid w:val="00316251"/>
    <w:rsid w:val="00394F29"/>
    <w:rsid w:val="0056022C"/>
    <w:rsid w:val="006A2120"/>
    <w:rsid w:val="008539D8"/>
    <w:rsid w:val="00BF169F"/>
    <w:rsid w:val="00C17ECE"/>
    <w:rsid w:val="00CF3BD5"/>
    <w:rsid w:val="00D704DD"/>
    <w:rsid w:val="00DE1B5C"/>
    <w:rsid w:val="00F2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4F62"/>
  <w15:chartTrackingRefBased/>
  <w15:docId w15:val="{B0DD5C99-1503-4F6D-AF61-1908515E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525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D5254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0D52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D63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6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maddaloni.c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Varra</dc:creator>
  <cp:keywords/>
  <dc:description/>
  <cp:lastModifiedBy>Maddalena Varra</cp:lastModifiedBy>
  <cp:revision>18</cp:revision>
  <dcterms:created xsi:type="dcterms:W3CDTF">2023-12-05T14:45:00Z</dcterms:created>
  <dcterms:modified xsi:type="dcterms:W3CDTF">2023-12-11T12:04:00Z</dcterms:modified>
</cp:coreProperties>
</file>