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30E53" w14:textId="77777777" w:rsidR="007F4A97" w:rsidRDefault="007F4A97" w:rsidP="007F4A97">
      <w:pPr>
        <w:pStyle w:val="Default"/>
        <w:jc w:val="center"/>
        <w:rPr>
          <w:sz w:val="22"/>
          <w:szCs w:val="22"/>
        </w:rPr>
      </w:pPr>
      <w:r>
        <w:rPr>
          <w:b/>
          <w:bCs/>
          <w:sz w:val="22"/>
          <w:szCs w:val="22"/>
        </w:rPr>
        <w:t>Commissione esaminatrice</w:t>
      </w:r>
    </w:p>
    <w:p w14:paraId="2D9956DA" w14:textId="77777777" w:rsidR="007F4A97" w:rsidRDefault="007F4A97" w:rsidP="007F4A97">
      <w:pPr>
        <w:pStyle w:val="Default"/>
        <w:rPr>
          <w:sz w:val="22"/>
          <w:szCs w:val="22"/>
        </w:rPr>
      </w:pPr>
    </w:p>
    <w:p w14:paraId="6EA5B4B8" w14:textId="77777777" w:rsidR="007F4A97" w:rsidRDefault="007F4A97" w:rsidP="007F4A97">
      <w:pPr>
        <w:pStyle w:val="Default"/>
        <w:jc w:val="both"/>
        <w:rPr>
          <w:sz w:val="22"/>
          <w:szCs w:val="22"/>
        </w:rPr>
      </w:pPr>
      <w:r>
        <w:rPr>
          <w:b/>
          <w:bCs/>
          <w:sz w:val="22"/>
          <w:szCs w:val="22"/>
        </w:rPr>
        <w:t>1.</w:t>
      </w:r>
      <w:r>
        <w:rPr>
          <w:sz w:val="22"/>
          <w:szCs w:val="22"/>
        </w:rPr>
        <w:t>Le Commissioni esaminatrici dei concorsi pubblici sono costituite con provvedimento del Segretario Generale.</w:t>
      </w:r>
    </w:p>
    <w:p w14:paraId="6612FAA4" w14:textId="77777777" w:rsidR="007F4A97" w:rsidRDefault="007F4A97" w:rsidP="007F4A97">
      <w:pPr>
        <w:pStyle w:val="Default"/>
        <w:rPr>
          <w:sz w:val="22"/>
          <w:szCs w:val="22"/>
        </w:rPr>
      </w:pPr>
    </w:p>
    <w:p w14:paraId="012652E7" w14:textId="77777777" w:rsidR="007F4A97" w:rsidRDefault="007F4A97" w:rsidP="007F4A97">
      <w:pPr>
        <w:pStyle w:val="Default"/>
        <w:spacing w:before="2"/>
        <w:jc w:val="both"/>
        <w:rPr>
          <w:sz w:val="22"/>
          <w:szCs w:val="22"/>
        </w:rPr>
      </w:pPr>
      <w:r>
        <w:rPr>
          <w:sz w:val="22"/>
          <w:szCs w:val="22"/>
        </w:rPr>
        <w:t>2. Le Commissioni esaminatrici sono composte:</w:t>
      </w:r>
    </w:p>
    <w:p w14:paraId="36471BEB" w14:textId="77777777" w:rsidR="007F4A97" w:rsidRDefault="007F4A97" w:rsidP="007F4A97">
      <w:pPr>
        <w:pStyle w:val="Default"/>
        <w:rPr>
          <w:sz w:val="22"/>
          <w:szCs w:val="22"/>
        </w:rPr>
      </w:pPr>
    </w:p>
    <w:p w14:paraId="6106E275" w14:textId="461DFA75" w:rsidR="007F4A97" w:rsidRPr="002A2614" w:rsidRDefault="007F4A97" w:rsidP="00AE5C10">
      <w:pPr>
        <w:pStyle w:val="Default"/>
        <w:numPr>
          <w:ilvl w:val="0"/>
          <w:numId w:val="2"/>
        </w:numPr>
        <w:jc w:val="both"/>
        <w:rPr>
          <w:b/>
          <w:i/>
          <w:sz w:val="22"/>
          <w:szCs w:val="22"/>
        </w:rPr>
      </w:pPr>
      <w:r w:rsidRPr="007F4A97">
        <w:rPr>
          <w:i/>
          <w:sz w:val="22"/>
          <w:szCs w:val="22"/>
        </w:rPr>
        <w:t>d</w:t>
      </w:r>
      <w:r w:rsidRPr="002A2614">
        <w:rPr>
          <w:b/>
          <w:i/>
          <w:sz w:val="22"/>
          <w:szCs w:val="22"/>
        </w:rPr>
        <w:t xml:space="preserve">a un Dirigente o da un Funzionario </w:t>
      </w:r>
      <w:r w:rsidR="001C242C">
        <w:rPr>
          <w:b/>
          <w:i/>
          <w:sz w:val="22"/>
          <w:szCs w:val="22"/>
        </w:rPr>
        <w:t>E.</w:t>
      </w:r>
      <w:r w:rsidRPr="002A2614">
        <w:rPr>
          <w:b/>
          <w:i/>
          <w:sz w:val="22"/>
          <w:szCs w:val="22"/>
        </w:rPr>
        <w:t>Q, che la presiede;</w:t>
      </w:r>
    </w:p>
    <w:p w14:paraId="34DD1AFF" w14:textId="77777777" w:rsidR="007F4A97" w:rsidRPr="002A2614" w:rsidRDefault="007F4A97" w:rsidP="007F4A97">
      <w:pPr>
        <w:pStyle w:val="Default"/>
        <w:jc w:val="both"/>
        <w:rPr>
          <w:b/>
          <w:bCs/>
          <w:i/>
          <w:sz w:val="22"/>
          <w:szCs w:val="22"/>
        </w:rPr>
      </w:pPr>
    </w:p>
    <w:p w14:paraId="5274713B" w14:textId="0BFBC0CE" w:rsidR="007F4A97" w:rsidRDefault="007F4A97" w:rsidP="007F4A97">
      <w:pPr>
        <w:pStyle w:val="Default"/>
        <w:jc w:val="both"/>
        <w:rPr>
          <w:sz w:val="22"/>
          <w:szCs w:val="22"/>
        </w:rPr>
      </w:pPr>
      <w:r>
        <w:rPr>
          <w:b/>
          <w:bCs/>
          <w:sz w:val="22"/>
          <w:szCs w:val="22"/>
        </w:rPr>
        <w:t>b)</w:t>
      </w:r>
      <w:r>
        <w:rPr>
          <w:sz w:val="22"/>
          <w:szCs w:val="22"/>
        </w:rPr>
        <w:t xml:space="preserve">da due membri esperti con specifiche competenze tecniche rispetto alle prove previste dal bando di selezione, scelti tra dipendenti dell’ente (anche tra il personale in quiescenza da non più di </w:t>
      </w:r>
      <w:bookmarkStart w:id="0" w:name="_GoBack"/>
      <w:r w:rsidR="00B75833" w:rsidRPr="002228F1">
        <w:rPr>
          <w:b/>
          <w:i/>
          <w:sz w:val="22"/>
          <w:szCs w:val="22"/>
        </w:rPr>
        <w:t>tre</w:t>
      </w:r>
      <w:bookmarkEnd w:id="0"/>
      <w:r w:rsidR="00B75833" w:rsidRPr="002228F1">
        <w:rPr>
          <w:i/>
          <w:sz w:val="22"/>
          <w:szCs w:val="22"/>
        </w:rPr>
        <w:t xml:space="preserve"> </w:t>
      </w:r>
      <w:r>
        <w:rPr>
          <w:sz w:val="22"/>
          <w:szCs w:val="22"/>
        </w:rPr>
        <w:t xml:space="preserve"> anni alla data di pubblicazione del bando di concorso) o dipendenti di altre amministrazioni pubbliche, docenti universitari, liberi professionisti, nonché soggetti estranei alle medesime pubbliche amministrazioni, di qualifica funzionale o posizione professionale almeno pari o assimilabile a quella del posto messo a concorso;</w:t>
      </w:r>
    </w:p>
    <w:p w14:paraId="5828CE75" w14:textId="77777777" w:rsidR="007F4A97" w:rsidRDefault="007F4A97" w:rsidP="007F4A97">
      <w:pPr>
        <w:pStyle w:val="Default"/>
        <w:rPr>
          <w:sz w:val="22"/>
          <w:szCs w:val="22"/>
        </w:rPr>
      </w:pPr>
    </w:p>
    <w:p w14:paraId="3085392B" w14:textId="77777777" w:rsidR="007F4A97" w:rsidRDefault="007F4A97" w:rsidP="007F4A97">
      <w:pPr>
        <w:pStyle w:val="Default"/>
        <w:spacing w:before="2"/>
        <w:jc w:val="both"/>
        <w:rPr>
          <w:sz w:val="22"/>
          <w:szCs w:val="22"/>
        </w:rPr>
      </w:pPr>
      <w:r>
        <w:rPr>
          <w:sz w:val="22"/>
          <w:szCs w:val="22"/>
        </w:rPr>
        <w:t>3. Gli esperti scelti tra il personale interno devono appartenere ad una categoria non inferiore a quella dei posti da ricoprire.</w:t>
      </w:r>
    </w:p>
    <w:p w14:paraId="01EEF839" w14:textId="77777777" w:rsidR="007F4A97" w:rsidRDefault="007F4A97" w:rsidP="007F4A97">
      <w:pPr>
        <w:pStyle w:val="Default"/>
        <w:spacing w:before="2"/>
        <w:jc w:val="both"/>
        <w:rPr>
          <w:sz w:val="22"/>
          <w:szCs w:val="22"/>
        </w:rPr>
      </w:pPr>
      <w:r>
        <w:rPr>
          <w:sz w:val="22"/>
          <w:szCs w:val="22"/>
        </w:rPr>
        <w:t>4. Le funzioni di Segretario della Commissione Esaminatrice e delle eventuali Sottocommissioni sono espletate da dipendenti della struttura organizzativa competente, scelti tra il personale in possesso di adeguate caratteristiche di professionalità, competenza ed esperienza. Il Segretario partecipa ai lavori della Commissione Esaminatrice senza diritto di voto e, in particolare:</w:t>
      </w:r>
    </w:p>
    <w:p w14:paraId="47B54EC4" w14:textId="77777777" w:rsidR="007F4A97" w:rsidRDefault="007F4A97" w:rsidP="007F4A97">
      <w:pPr>
        <w:pStyle w:val="Default"/>
        <w:rPr>
          <w:sz w:val="22"/>
          <w:szCs w:val="22"/>
        </w:rPr>
      </w:pPr>
    </w:p>
    <w:p w14:paraId="119B878E" w14:textId="77777777" w:rsidR="007F4A97" w:rsidRDefault="007F4A97" w:rsidP="007F4A97">
      <w:pPr>
        <w:pStyle w:val="Default"/>
        <w:ind w:hanging="6"/>
        <w:jc w:val="both"/>
        <w:rPr>
          <w:sz w:val="22"/>
          <w:szCs w:val="22"/>
        </w:rPr>
      </w:pPr>
      <w:proofErr w:type="gramStart"/>
      <w:r>
        <w:rPr>
          <w:b/>
          <w:bCs/>
          <w:sz w:val="22"/>
          <w:szCs w:val="22"/>
        </w:rPr>
        <w:t>a)</w:t>
      </w:r>
      <w:r>
        <w:rPr>
          <w:sz w:val="22"/>
          <w:szCs w:val="22"/>
        </w:rPr>
        <w:t>cura</w:t>
      </w:r>
      <w:proofErr w:type="gramEnd"/>
      <w:r>
        <w:rPr>
          <w:sz w:val="22"/>
          <w:szCs w:val="22"/>
        </w:rPr>
        <w:t xml:space="preserve"> l’ordinato svolgimento di tutte le fasi selettive;</w:t>
      </w:r>
    </w:p>
    <w:p w14:paraId="16AC0E9B" w14:textId="77777777" w:rsidR="007F4A97" w:rsidRDefault="007F4A97" w:rsidP="007F4A97">
      <w:pPr>
        <w:pStyle w:val="Default"/>
        <w:ind w:hanging="6"/>
        <w:jc w:val="both"/>
        <w:rPr>
          <w:sz w:val="22"/>
          <w:szCs w:val="22"/>
        </w:rPr>
      </w:pPr>
    </w:p>
    <w:p w14:paraId="61B916BD" w14:textId="77777777" w:rsidR="007F4A97" w:rsidRDefault="007F4A97" w:rsidP="007F4A97">
      <w:pPr>
        <w:pStyle w:val="Default"/>
        <w:ind w:hanging="6"/>
        <w:jc w:val="both"/>
        <w:rPr>
          <w:sz w:val="22"/>
          <w:szCs w:val="22"/>
        </w:rPr>
      </w:pPr>
      <w:proofErr w:type="gramStart"/>
      <w:r>
        <w:rPr>
          <w:b/>
          <w:bCs/>
          <w:sz w:val="22"/>
          <w:szCs w:val="22"/>
        </w:rPr>
        <w:t>b)</w:t>
      </w:r>
      <w:r>
        <w:rPr>
          <w:sz w:val="22"/>
          <w:szCs w:val="22"/>
        </w:rPr>
        <w:t>provvede</w:t>
      </w:r>
      <w:proofErr w:type="gramEnd"/>
      <w:r>
        <w:rPr>
          <w:sz w:val="22"/>
          <w:szCs w:val="22"/>
        </w:rPr>
        <w:t xml:space="preserve"> alla custodia degli atti e, in particolare, custodisce i plichi contenenti gli elaborati;</w:t>
      </w:r>
    </w:p>
    <w:p w14:paraId="14AA46FA" w14:textId="77777777" w:rsidR="007F4A97" w:rsidRDefault="007F4A97" w:rsidP="007F4A97">
      <w:pPr>
        <w:pStyle w:val="Default"/>
        <w:ind w:hanging="6"/>
        <w:jc w:val="both"/>
        <w:rPr>
          <w:sz w:val="22"/>
          <w:szCs w:val="22"/>
        </w:rPr>
      </w:pPr>
    </w:p>
    <w:p w14:paraId="63719107" w14:textId="77777777" w:rsidR="007F4A97" w:rsidRDefault="007F4A97" w:rsidP="007F4A97">
      <w:pPr>
        <w:pStyle w:val="Default"/>
        <w:ind w:hanging="6"/>
        <w:jc w:val="both"/>
        <w:rPr>
          <w:sz w:val="22"/>
          <w:szCs w:val="22"/>
        </w:rPr>
      </w:pPr>
      <w:r>
        <w:rPr>
          <w:b/>
          <w:bCs/>
          <w:sz w:val="22"/>
          <w:szCs w:val="22"/>
        </w:rPr>
        <w:t>c)</w:t>
      </w:r>
      <w:r>
        <w:rPr>
          <w:sz w:val="22"/>
          <w:szCs w:val="22"/>
        </w:rPr>
        <w:t>attua le disposizioni della Commissione;</w:t>
      </w:r>
    </w:p>
    <w:p w14:paraId="16D599D4" w14:textId="77777777" w:rsidR="007F4A97" w:rsidRDefault="007F4A97" w:rsidP="007F4A97">
      <w:pPr>
        <w:pStyle w:val="Default"/>
        <w:ind w:hanging="6"/>
        <w:jc w:val="both"/>
        <w:rPr>
          <w:sz w:val="22"/>
          <w:szCs w:val="22"/>
        </w:rPr>
      </w:pPr>
    </w:p>
    <w:p w14:paraId="1B7B1D27" w14:textId="77777777" w:rsidR="007F4A97" w:rsidRDefault="007F4A97" w:rsidP="007F4A97">
      <w:pPr>
        <w:pStyle w:val="Default"/>
        <w:ind w:hanging="6"/>
        <w:jc w:val="both"/>
        <w:rPr>
          <w:sz w:val="22"/>
          <w:szCs w:val="22"/>
        </w:rPr>
      </w:pPr>
      <w:r>
        <w:rPr>
          <w:b/>
          <w:bCs/>
          <w:sz w:val="22"/>
          <w:szCs w:val="22"/>
        </w:rPr>
        <w:t>d)</w:t>
      </w:r>
      <w:r>
        <w:rPr>
          <w:sz w:val="22"/>
          <w:szCs w:val="22"/>
        </w:rPr>
        <w:t>cura i rapporti e le comunicazioni con i candidati e con i soggetti coinvolti a qualsiasi titolo nella</w:t>
      </w:r>
    </w:p>
    <w:p w14:paraId="5D1A316A" w14:textId="77777777" w:rsidR="007F4A97" w:rsidRDefault="007F4A97" w:rsidP="007F4A97">
      <w:pPr>
        <w:pStyle w:val="Default"/>
        <w:ind w:hanging="6"/>
        <w:jc w:val="both"/>
        <w:rPr>
          <w:sz w:val="22"/>
          <w:szCs w:val="22"/>
        </w:rPr>
      </w:pPr>
    </w:p>
    <w:p w14:paraId="50E69DF4" w14:textId="77777777" w:rsidR="007F4A97" w:rsidRDefault="007F4A97" w:rsidP="007F4A97">
      <w:pPr>
        <w:pStyle w:val="Default"/>
        <w:ind w:hanging="6"/>
        <w:jc w:val="both"/>
        <w:rPr>
          <w:sz w:val="22"/>
          <w:szCs w:val="22"/>
        </w:rPr>
      </w:pPr>
      <w:proofErr w:type="gramStart"/>
      <w:r>
        <w:rPr>
          <w:b/>
          <w:bCs/>
          <w:sz w:val="22"/>
          <w:szCs w:val="22"/>
        </w:rPr>
        <w:t>e)</w:t>
      </w:r>
      <w:r>
        <w:rPr>
          <w:sz w:val="22"/>
          <w:szCs w:val="22"/>
        </w:rPr>
        <w:t>procedura</w:t>
      </w:r>
      <w:proofErr w:type="gramEnd"/>
      <w:r>
        <w:rPr>
          <w:sz w:val="22"/>
          <w:szCs w:val="22"/>
        </w:rPr>
        <w:t xml:space="preserve"> di selezione;</w:t>
      </w:r>
    </w:p>
    <w:p w14:paraId="3A466971" w14:textId="77777777" w:rsidR="007F4A97" w:rsidRDefault="007F4A97" w:rsidP="007F4A97">
      <w:pPr>
        <w:pStyle w:val="Default"/>
        <w:ind w:hanging="6"/>
        <w:jc w:val="both"/>
        <w:rPr>
          <w:sz w:val="22"/>
          <w:szCs w:val="22"/>
        </w:rPr>
      </w:pPr>
    </w:p>
    <w:p w14:paraId="3A47D8B0" w14:textId="77777777" w:rsidR="007F4A97" w:rsidRDefault="007F4A97" w:rsidP="007F4A97">
      <w:pPr>
        <w:pStyle w:val="Default"/>
        <w:ind w:hanging="6"/>
        <w:jc w:val="both"/>
        <w:rPr>
          <w:sz w:val="22"/>
          <w:szCs w:val="22"/>
        </w:rPr>
      </w:pPr>
      <w:proofErr w:type="gramStart"/>
      <w:r>
        <w:rPr>
          <w:b/>
          <w:bCs/>
          <w:sz w:val="22"/>
          <w:szCs w:val="22"/>
        </w:rPr>
        <w:t>f)</w:t>
      </w:r>
      <w:r>
        <w:rPr>
          <w:sz w:val="22"/>
          <w:szCs w:val="22"/>
        </w:rPr>
        <w:t>collabora</w:t>
      </w:r>
      <w:proofErr w:type="gramEnd"/>
      <w:r>
        <w:rPr>
          <w:sz w:val="22"/>
          <w:szCs w:val="22"/>
        </w:rPr>
        <w:t xml:space="preserve"> all’organizzazione tecnica delle prove d’esame ed alla sorveglianza delle stesse;</w:t>
      </w:r>
    </w:p>
    <w:p w14:paraId="71509A19" w14:textId="77777777" w:rsidR="007F4A97" w:rsidRDefault="007F4A97" w:rsidP="007F4A97">
      <w:pPr>
        <w:pStyle w:val="Default"/>
        <w:ind w:hanging="6"/>
        <w:jc w:val="both"/>
        <w:rPr>
          <w:sz w:val="22"/>
          <w:szCs w:val="22"/>
        </w:rPr>
      </w:pPr>
    </w:p>
    <w:p w14:paraId="3C3499D5" w14:textId="77777777" w:rsidR="007F4A97" w:rsidRDefault="007F4A97" w:rsidP="007F4A97">
      <w:pPr>
        <w:pStyle w:val="Default"/>
        <w:ind w:hanging="6"/>
        <w:jc w:val="both"/>
        <w:rPr>
          <w:sz w:val="22"/>
          <w:szCs w:val="22"/>
        </w:rPr>
      </w:pPr>
      <w:proofErr w:type="gramStart"/>
      <w:r>
        <w:rPr>
          <w:b/>
          <w:bCs/>
          <w:sz w:val="22"/>
          <w:szCs w:val="22"/>
        </w:rPr>
        <w:t>g)</w:t>
      </w:r>
      <w:r>
        <w:rPr>
          <w:sz w:val="22"/>
          <w:szCs w:val="22"/>
        </w:rPr>
        <w:t>fornisce</w:t>
      </w:r>
      <w:proofErr w:type="gramEnd"/>
      <w:r>
        <w:rPr>
          <w:sz w:val="22"/>
          <w:szCs w:val="22"/>
        </w:rPr>
        <w:t xml:space="preserve"> alla Commissione Esaminatrice adeguato supporto tecnico in tutte le fasi della procedura;</w:t>
      </w:r>
    </w:p>
    <w:p w14:paraId="48FE57D2" w14:textId="77777777" w:rsidR="007F4A97" w:rsidRDefault="007F4A97" w:rsidP="007F4A97">
      <w:pPr>
        <w:pStyle w:val="Default"/>
        <w:ind w:hanging="6"/>
        <w:jc w:val="both"/>
        <w:rPr>
          <w:sz w:val="22"/>
          <w:szCs w:val="22"/>
        </w:rPr>
      </w:pPr>
    </w:p>
    <w:p w14:paraId="607BEC27" w14:textId="77777777" w:rsidR="007F4A97" w:rsidRDefault="007F4A97" w:rsidP="007F4A97">
      <w:pPr>
        <w:pStyle w:val="Default"/>
        <w:ind w:hanging="6"/>
        <w:jc w:val="both"/>
        <w:rPr>
          <w:sz w:val="22"/>
          <w:szCs w:val="22"/>
        </w:rPr>
      </w:pPr>
      <w:proofErr w:type="gramStart"/>
      <w:r>
        <w:rPr>
          <w:b/>
          <w:bCs/>
          <w:sz w:val="22"/>
          <w:szCs w:val="22"/>
        </w:rPr>
        <w:t>h)</w:t>
      </w:r>
      <w:r>
        <w:rPr>
          <w:sz w:val="22"/>
          <w:szCs w:val="22"/>
        </w:rPr>
        <w:t>verbalizza</w:t>
      </w:r>
      <w:proofErr w:type="gramEnd"/>
      <w:r>
        <w:rPr>
          <w:sz w:val="22"/>
          <w:szCs w:val="22"/>
        </w:rPr>
        <w:t xml:space="preserve"> i lavori della Commissione.</w:t>
      </w:r>
    </w:p>
    <w:p w14:paraId="0D1F7E58" w14:textId="77777777" w:rsidR="007F4A97" w:rsidRDefault="007F4A97" w:rsidP="007F4A97">
      <w:pPr>
        <w:pStyle w:val="Default"/>
        <w:rPr>
          <w:sz w:val="22"/>
          <w:szCs w:val="22"/>
        </w:rPr>
      </w:pPr>
    </w:p>
    <w:p w14:paraId="0C3EB835" w14:textId="77777777" w:rsidR="007F4A97" w:rsidRDefault="007F4A97" w:rsidP="007F4A97">
      <w:pPr>
        <w:pStyle w:val="Default"/>
        <w:spacing w:before="2"/>
        <w:jc w:val="both"/>
        <w:rPr>
          <w:sz w:val="22"/>
          <w:szCs w:val="22"/>
        </w:rPr>
      </w:pPr>
      <w:r>
        <w:rPr>
          <w:sz w:val="22"/>
          <w:szCs w:val="22"/>
        </w:rPr>
        <w:t>5. Delle già menzionate commissioni possono fare parte come componenti aggiunti anche specialisti in psicologia e risorse umane.</w:t>
      </w:r>
    </w:p>
    <w:p w14:paraId="5D2D929B" w14:textId="77777777" w:rsidR="007F4A97" w:rsidRDefault="007F4A97" w:rsidP="007F4A97">
      <w:pPr>
        <w:pStyle w:val="Default"/>
        <w:spacing w:before="2"/>
        <w:jc w:val="both"/>
        <w:rPr>
          <w:sz w:val="22"/>
          <w:szCs w:val="22"/>
        </w:rPr>
      </w:pPr>
      <w:r>
        <w:rPr>
          <w:sz w:val="22"/>
          <w:szCs w:val="22"/>
        </w:rPr>
        <w:t>6. Per la scelta dei membri esterni si procederà con avviso pubblico che indicherà requisiti e criteri di scelta dei commissari. Nel caso in cui l’avviso vada in tutto o in parte deserto, o in caso di mancata rispondenza delle manifestazioni di interesse ricevute ai requisiti dell’avviso, i commissari saranno scelti in via diretta</w:t>
      </w:r>
    </w:p>
    <w:p w14:paraId="385E3DD8" w14:textId="77777777" w:rsidR="007F4A97" w:rsidRDefault="007F4A97" w:rsidP="007F4A97">
      <w:pPr>
        <w:pStyle w:val="Default"/>
        <w:spacing w:before="2"/>
        <w:jc w:val="both"/>
        <w:rPr>
          <w:sz w:val="22"/>
          <w:szCs w:val="22"/>
        </w:rPr>
      </w:pPr>
      <w:r>
        <w:rPr>
          <w:sz w:val="22"/>
          <w:szCs w:val="22"/>
        </w:rPr>
        <w:t xml:space="preserve">7. Ai sensi dell’art. 57, comma 1, lettera a) del </w:t>
      </w:r>
      <w:proofErr w:type="spellStart"/>
      <w:r>
        <w:rPr>
          <w:sz w:val="22"/>
          <w:szCs w:val="22"/>
        </w:rPr>
        <w:t>D.Lgs.</w:t>
      </w:r>
      <w:proofErr w:type="spellEnd"/>
      <w:r>
        <w:rPr>
          <w:sz w:val="22"/>
          <w:szCs w:val="22"/>
        </w:rPr>
        <w:t xml:space="preserve"> n. 165/2001 almeno un terzo dei posti di componente delle Commissioni Esaminatrici sono riservati, salva motivata impossibilità, a donne, fermo restando il possesso dei requisiti.</w:t>
      </w:r>
    </w:p>
    <w:p w14:paraId="127752C6" w14:textId="77777777" w:rsidR="007F4A97" w:rsidRDefault="007F4A97" w:rsidP="007F4A97">
      <w:pPr>
        <w:pStyle w:val="Default"/>
        <w:spacing w:before="2"/>
        <w:jc w:val="both"/>
        <w:rPr>
          <w:sz w:val="22"/>
          <w:szCs w:val="22"/>
        </w:rPr>
      </w:pPr>
      <w:r>
        <w:rPr>
          <w:sz w:val="22"/>
          <w:szCs w:val="22"/>
        </w:rPr>
        <w:t>8. Possono essere nominati anche membri supplenti con il compito di surrogare gli effettivi, in caso di dimissioni o di altro sopravvenuto impedimento, per il proseguimento e fino all’esaurimento delle operazioni concorsuali.</w:t>
      </w:r>
    </w:p>
    <w:p w14:paraId="06AF3E77" w14:textId="77777777" w:rsidR="007F4A97" w:rsidRDefault="007F4A97" w:rsidP="007F4A97">
      <w:pPr>
        <w:pStyle w:val="Default"/>
        <w:spacing w:before="2"/>
        <w:jc w:val="both"/>
        <w:rPr>
          <w:sz w:val="22"/>
          <w:szCs w:val="22"/>
        </w:rPr>
      </w:pPr>
      <w:r>
        <w:rPr>
          <w:sz w:val="22"/>
          <w:szCs w:val="22"/>
        </w:rPr>
        <w:t>9. In caso di sostituzione di un componente della Commissione, conservano validità tutte le operazioni concorsuali precedentemente espletate; la Commissione, nella nuova composizione, fa propri, dopo averne preso cognizione, i criteri già fissati e le operazioni concorsuali già svolte in precedenza.</w:t>
      </w:r>
    </w:p>
    <w:p w14:paraId="0BFC081E" w14:textId="77777777" w:rsidR="007F4A97" w:rsidRDefault="007F4A97" w:rsidP="007F4A97">
      <w:pPr>
        <w:pStyle w:val="Default"/>
        <w:spacing w:before="2"/>
        <w:jc w:val="both"/>
        <w:rPr>
          <w:sz w:val="22"/>
          <w:szCs w:val="22"/>
        </w:rPr>
      </w:pPr>
      <w:r>
        <w:rPr>
          <w:sz w:val="22"/>
          <w:szCs w:val="22"/>
        </w:rPr>
        <w:t xml:space="preserve">10. Qualora le prove abbiano luogo in più sedi o il numero dei candidati sia elevato, ovvero sia necessario il rispetto di specifiche formalità previste dal legislatore, il Servizio Personale costituisce appositi Comitati di Vigilanza, presieduti da un membro della Commissione Esaminatrice e composti da almeno due dipendenti </w:t>
      </w:r>
      <w:r>
        <w:rPr>
          <w:sz w:val="22"/>
          <w:szCs w:val="22"/>
        </w:rPr>
        <w:lastRenderedPageBreak/>
        <w:t xml:space="preserve">dell’Ente di categoria non inferiore a quella dei posti da ricoprire, da utilizzare per l’identificazione dei candidati preventivamente all’esperimento delle prove, nonché per la vigilanza durante le stesse. </w:t>
      </w:r>
    </w:p>
    <w:p w14:paraId="5ED012CE" w14:textId="77777777" w:rsidR="007F4A97" w:rsidRDefault="007F4A97" w:rsidP="007F4A97">
      <w:pPr>
        <w:pStyle w:val="Default"/>
        <w:spacing w:before="2"/>
        <w:jc w:val="both"/>
        <w:rPr>
          <w:sz w:val="22"/>
          <w:szCs w:val="22"/>
        </w:rPr>
      </w:pPr>
      <w:r>
        <w:rPr>
          <w:sz w:val="22"/>
          <w:szCs w:val="22"/>
        </w:rPr>
        <w:t>11. I componenti delle commissioni il cui rapporto di impiego si risolva per qualsiasi causa durante l'espletamento dei lavori della Commissione Esaminatrice cessano dall'incarico, salvo conferma dell'Amministrazione.</w:t>
      </w:r>
    </w:p>
    <w:p w14:paraId="4A3A5BE1" w14:textId="77777777" w:rsidR="00AE5C10" w:rsidRDefault="00AE5C10" w:rsidP="007F4A97">
      <w:pPr>
        <w:spacing w:line="360" w:lineRule="auto"/>
        <w:rPr>
          <w:rFonts w:ascii="Times New Roman" w:hAnsi="Times New Roman" w:cs="Times New Roman"/>
        </w:rPr>
      </w:pPr>
    </w:p>
    <w:p w14:paraId="6F6E539B" w14:textId="1C36CA21" w:rsidR="007F4A97" w:rsidRPr="00AE5C10" w:rsidRDefault="007F4A97" w:rsidP="00AE5C10">
      <w:pPr>
        <w:spacing w:after="0" w:line="240" w:lineRule="auto"/>
        <w:rPr>
          <w:rFonts w:ascii="Times New Roman" w:hAnsi="Times New Roman" w:cs="Times New Roman"/>
          <w:b/>
          <w:bCs/>
          <w:sz w:val="24"/>
          <w:szCs w:val="24"/>
          <w:lang w:val="it-IT"/>
        </w:rPr>
      </w:pPr>
      <w:r w:rsidRPr="00AE5C10">
        <w:rPr>
          <w:rFonts w:ascii="Times New Roman" w:hAnsi="Times New Roman" w:cs="Times New Roman"/>
        </w:rPr>
        <w:t xml:space="preserve">12. Il </w:t>
      </w:r>
      <w:proofErr w:type="spellStart"/>
      <w:r w:rsidRPr="00AE5C10">
        <w:rPr>
          <w:rFonts w:ascii="Times New Roman" w:hAnsi="Times New Roman" w:cs="Times New Roman"/>
        </w:rPr>
        <w:t>presidente</w:t>
      </w:r>
      <w:proofErr w:type="spellEnd"/>
      <w:r w:rsidRPr="00AE5C10">
        <w:rPr>
          <w:rFonts w:ascii="Times New Roman" w:hAnsi="Times New Roman" w:cs="Times New Roman"/>
        </w:rPr>
        <w:t xml:space="preserve"> e </w:t>
      </w:r>
      <w:proofErr w:type="spellStart"/>
      <w:r w:rsidRPr="00AE5C10">
        <w:rPr>
          <w:rFonts w:ascii="Times New Roman" w:hAnsi="Times New Roman" w:cs="Times New Roman"/>
        </w:rPr>
        <w:t>i</w:t>
      </w:r>
      <w:proofErr w:type="spellEnd"/>
      <w:r w:rsidRPr="00AE5C10">
        <w:rPr>
          <w:rFonts w:ascii="Times New Roman" w:hAnsi="Times New Roman" w:cs="Times New Roman"/>
        </w:rPr>
        <w:t xml:space="preserve"> </w:t>
      </w:r>
      <w:proofErr w:type="spellStart"/>
      <w:r w:rsidRPr="00AE5C10">
        <w:rPr>
          <w:rFonts w:ascii="Times New Roman" w:hAnsi="Times New Roman" w:cs="Times New Roman"/>
        </w:rPr>
        <w:t>membri</w:t>
      </w:r>
      <w:proofErr w:type="spellEnd"/>
      <w:r w:rsidRPr="00AE5C10">
        <w:rPr>
          <w:rFonts w:ascii="Times New Roman" w:hAnsi="Times New Roman" w:cs="Times New Roman"/>
        </w:rPr>
        <w:t xml:space="preserve"> </w:t>
      </w:r>
      <w:proofErr w:type="spellStart"/>
      <w:r w:rsidRPr="00AE5C10">
        <w:rPr>
          <w:rFonts w:ascii="Times New Roman" w:hAnsi="Times New Roman" w:cs="Times New Roman"/>
        </w:rPr>
        <w:t>delle</w:t>
      </w:r>
      <w:proofErr w:type="spellEnd"/>
      <w:r w:rsidRPr="00AE5C10">
        <w:rPr>
          <w:rFonts w:ascii="Times New Roman" w:hAnsi="Times New Roman" w:cs="Times New Roman"/>
        </w:rPr>
        <w:t xml:space="preserve"> </w:t>
      </w:r>
      <w:proofErr w:type="spellStart"/>
      <w:r w:rsidRPr="00AE5C10">
        <w:rPr>
          <w:rFonts w:ascii="Times New Roman" w:hAnsi="Times New Roman" w:cs="Times New Roman"/>
        </w:rPr>
        <w:t>commissioni</w:t>
      </w:r>
      <w:proofErr w:type="spellEnd"/>
      <w:r w:rsidRPr="00AE5C10">
        <w:rPr>
          <w:rFonts w:ascii="Times New Roman" w:hAnsi="Times New Roman" w:cs="Times New Roman"/>
        </w:rPr>
        <w:t xml:space="preserve"> </w:t>
      </w:r>
      <w:proofErr w:type="spellStart"/>
      <w:r w:rsidRPr="00AE5C10">
        <w:rPr>
          <w:rFonts w:ascii="Times New Roman" w:hAnsi="Times New Roman" w:cs="Times New Roman"/>
        </w:rPr>
        <w:t>esaminatrici</w:t>
      </w:r>
      <w:proofErr w:type="spellEnd"/>
      <w:r w:rsidRPr="00AE5C10">
        <w:rPr>
          <w:rFonts w:ascii="Times New Roman" w:hAnsi="Times New Roman" w:cs="Times New Roman"/>
        </w:rPr>
        <w:t xml:space="preserve"> </w:t>
      </w:r>
      <w:proofErr w:type="spellStart"/>
      <w:r w:rsidRPr="00AE5C10">
        <w:rPr>
          <w:rFonts w:ascii="Times New Roman" w:hAnsi="Times New Roman" w:cs="Times New Roman"/>
        </w:rPr>
        <w:t>possono</w:t>
      </w:r>
      <w:proofErr w:type="spellEnd"/>
      <w:r w:rsidRPr="00AE5C10">
        <w:rPr>
          <w:rFonts w:ascii="Times New Roman" w:hAnsi="Times New Roman" w:cs="Times New Roman"/>
        </w:rPr>
        <w:t xml:space="preserve"> </w:t>
      </w:r>
      <w:proofErr w:type="spellStart"/>
      <w:r w:rsidRPr="00AE5C10">
        <w:rPr>
          <w:rFonts w:ascii="Times New Roman" w:hAnsi="Times New Roman" w:cs="Times New Roman"/>
        </w:rPr>
        <w:t>essere</w:t>
      </w:r>
      <w:proofErr w:type="spellEnd"/>
      <w:r w:rsidRPr="00AE5C10">
        <w:rPr>
          <w:rFonts w:ascii="Times New Roman" w:hAnsi="Times New Roman" w:cs="Times New Roman"/>
        </w:rPr>
        <w:t xml:space="preserve"> </w:t>
      </w:r>
      <w:proofErr w:type="spellStart"/>
      <w:r w:rsidRPr="00AE5C10">
        <w:rPr>
          <w:rFonts w:ascii="Times New Roman" w:hAnsi="Times New Roman" w:cs="Times New Roman"/>
        </w:rPr>
        <w:t>scelti</w:t>
      </w:r>
      <w:proofErr w:type="spellEnd"/>
      <w:r w:rsidRPr="00AE5C10">
        <w:rPr>
          <w:rFonts w:ascii="Times New Roman" w:hAnsi="Times New Roman" w:cs="Times New Roman"/>
        </w:rPr>
        <w:t xml:space="preserve"> </w:t>
      </w:r>
      <w:proofErr w:type="spellStart"/>
      <w:r w:rsidRPr="00AE5C10">
        <w:rPr>
          <w:rFonts w:ascii="Times New Roman" w:hAnsi="Times New Roman" w:cs="Times New Roman"/>
        </w:rPr>
        <w:t>anche</w:t>
      </w:r>
      <w:proofErr w:type="spellEnd"/>
      <w:r w:rsidRPr="00AE5C10">
        <w:rPr>
          <w:rFonts w:ascii="Times New Roman" w:hAnsi="Times New Roman" w:cs="Times New Roman"/>
        </w:rPr>
        <w:t xml:space="preserve"> </w:t>
      </w:r>
      <w:proofErr w:type="spellStart"/>
      <w:r w:rsidRPr="00AE5C10">
        <w:rPr>
          <w:rFonts w:ascii="Times New Roman" w:hAnsi="Times New Roman" w:cs="Times New Roman"/>
        </w:rPr>
        <w:t>tra</w:t>
      </w:r>
      <w:proofErr w:type="spellEnd"/>
      <w:r w:rsidRPr="00AE5C10">
        <w:rPr>
          <w:rFonts w:ascii="Times New Roman" w:hAnsi="Times New Roman" w:cs="Times New Roman"/>
        </w:rPr>
        <w:t xml:space="preserve"> </w:t>
      </w:r>
      <w:proofErr w:type="spellStart"/>
      <w:r w:rsidRPr="00AE5C10">
        <w:rPr>
          <w:rFonts w:ascii="Times New Roman" w:hAnsi="Times New Roman" w:cs="Times New Roman"/>
        </w:rPr>
        <w:t>il</w:t>
      </w:r>
      <w:proofErr w:type="spellEnd"/>
      <w:r w:rsidRPr="00AE5C10">
        <w:rPr>
          <w:rFonts w:ascii="Times New Roman" w:hAnsi="Times New Roman" w:cs="Times New Roman"/>
        </w:rPr>
        <w:t xml:space="preserve"> </w:t>
      </w:r>
      <w:proofErr w:type="spellStart"/>
      <w:r w:rsidRPr="00AE5C10">
        <w:rPr>
          <w:rFonts w:ascii="Times New Roman" w:hAnsi="Times New Roman" w:cs="Times New Roman"/>
        </w:rPr>
        <w:t>personale</w:t>
      </w:r>
      <w:proofErr w:type="spellEnd"/>
      <w:r w:rsidRPr="00AE5C10">
        <w:rPr>
          <w:rFonts w:ascii="Times New Roman" w:hAnsi="Times New Roman" w:cs="Times New Roman"/>
        </w:rPr>
        <w:t xml:space="preserve"> in </w:t>
      </w:r>
      <w:proofErr w:type="spellStart"/>
      <w:r w:rsidRPr="00AE5C10">
        <w:rPr>
          <w:rFonts w:ascii="Times New Roman" w:hAnsi="Times New Roman" w:cs="Times New Roman"/>
        </w:rPr>
        <w:t>quiescenza</w:t>
      </w:r>
      <w:proofErr w:type="spellEnd"/>
      <w:r w:rsidRPr="00AE5C10">
        <w:rPr>
          <w:rFonts w:ascii="Times New Roman" w:hAnsi="Times New Roman" w:cs="Times New Roman"/>
        </w:rPr>
        <w:t xml:space="preserve"> </w:t>
      </w:r>
      <w:proofErr w:type="spellStart"/>
      <w:r w:rsidRPr="00AE5C10">
        <w:rPr>
          <w:rFonts w:ascii="Times New Roman" w:hAnsi="Times New Roman" w:cs="Times New Roman"/>
        </w:rPr>
        <w:t>che</w:t>
      </w:r>
      <w:proofErr w:type="spellEnd"/>
      <w:r w:rsidRPr="00AE5C10">
        <w:rPr>
          <w:rFonts w:ascii="Times New Roman" w:hAnsi="Times New Roman" w:cs="Times New Roman"/>
        </w:rPr>
        <w:t xml:space="preserve"> </w:t>
      </w:r>
      <w:proofErr w:type="spellStart"/>
      <w:r w:rsidRPr="00AE5C10">
        <w:rPr>
          <w:rFonts w:ascii="Times New Roman" w:hAnsi="Times New Roman" w:cs="Times New Roman"/>
        </w:rPr>
        <w:t>abbia</w:t>
      </w:r>
      <w:proofErr w:type="spellEnd"/>
      <w:r w:rsidRPr="00AE5C10">
        <w:rPr>
          <w:rFonts w:ascii="Times New Roman" w:hAnsi="Times New Roman" w:cs="Times New Roman"/>
        </w:rPr>
        <w:t xml:space="preserve"> </w:t>
      </w:r>
      <w:proofErr w:type="spellStart"/>
      <w:r w:rsidRPr="00AE5C10">
        <w:rPr>
          <w:rFonts w:ascii="Times New Roman" w:hAnsi="Times New Roman" w:cs="Times New Roman"/>
        </w:rPr>
        <w:t>posseduto</w:t>
      </w:r>
      <w:proofErr w:type="spellEnd"/>
      <w:r w:rsidRPr="00AE5C10">
        <w:rPr>
          <w:rFonts w:ascii="Times New Roman" w:hAnsi="Times New Roman" w:cs="Times New Roman"/>
        </w:rPr>
        <w:t xml:space="preserve">, </w:t>
      </w:r>
      <w:proofErr w:type="spellStart"/>
      <w:r w:rsidRPr="00AE5C10">
        <w:rPr>
          <w:rFonts w:ascii="Times New Roman" w:hAnsi="Times New Roman" w:cs="Times New Roman"/>
        </w:rPr>
        <w:t>durante</w:t>
      </w:r>
      <w:proofErr w:type="spellEnd"/>
      <w:r w:rsidRPr="00AE5C10">
        <w:rPr>
          <w:rFonts w:ascii="Times New Roman" w:hAnsi="Times New Roman" w:cs="Times New Roman"/>
        </w:rPr>
        <w:t xml:space="preserve"> </w:t>
      </w:r>
      <w:proofErr w:type="spellStart"/>
      <w:r w:rsidRPr="00AE5C10">
        <w:rPr>
          <w:rFonts w:ascii="Times New Roman" w:hAnsi="Times New Roman" w:cs="Times New Roman"/>
        </w:rPr>
        <w:t>il</w:t>
      </w:r>
      <w:proofErr w:type="spellEnd"/>
      <w:r w:rsidRPr="00AE5C10">
        <w:rPr>
          <w:rFonts w:ascii="Times New Roman" w:hAnsi="Times New Roman" w:cs="Times New Roman"/>
        </w:rPr>
        <w:t xml:space="preserve"> </w:t>
      </w:r>
      <w:proofErr w:type="spellStart"/>
      <w:r w:rsidRPr="00AE5C10">
        <w:rPr>
          <w:rFonts w:ascii="Times New Roman" w:hAnsi="Times New Roman" w:cs="Times New Roman"/>
        </w:rPr>
        <w:t>servizio</w:t>
      </w:r>
      <w:proofErr w:type="spellEnd"/>
      <w:r w:rsidRPr="00AE5C10">
        <w:rPr>
          <w:rFonts w:ascii="Times New Roman" w:hAnsi="Times New Roman" w:cs="Times New Roman"/>
        </w:rPr>
        <w:t xml:space="preserve"> </w:t>
      </w:r>
      <w:proofErr w:type="spellStart"/>
      <w:r w:rsidRPr="00AE5C10">
        <w:rPr>
          <w:rFonts w:ascii="Times New Roman" w:hAnsi="Times New Roman" w:cs="Times New Roman"/>
        </w:rPr>
        <w:t>attivo</w:t>
      </w:r>
      <w:proofErr w:type="spellEnd"/>
      <w:r w:rsidRPr="00AE5C10">
        <w:rPr>
          <w:rFonts w:ascii="Times New Roman" w:hAnsi="Times New Roman" w:cs="Times New Roman"/>
        </w:rPr>
        <w:t xml:space="preserve">, la </w:t>
      </w:r>
      <w:proofErr w:type="spellStart"/>
      <w:r w:rsidRPr="00AE5C10">
        <w:rPr>
          <w:rFonts w:ascii="Times New Roman" w:hAnsi="Times New Roman" w:cs="Times New Roman"/>
        </w:rPr>
        <w:t>qualifica</w:t>
      </w:r>
      <w:proofErr w:type="spellEnd"/>
      <w:r w:rsidRPr="00AE5C10">
        <w:rPr>
          <w:rFonts w:ascii="Times New Roman" w:hAnsi="Times New Roman" w:cs="Times New Roman"/>
        </w:rPr>
        <w:t xml:space="preserve"> </w:t>
      </w:r>
      <w:proofErr w:type="spellStart"/>
      <w:r w:rsidRPr="00AE5C10">
        <w:rPr>
          <w:rFonts w:ascii="Times New Roman" w:hAnsi="Times New Roman" w:cs="Times New Roman"/>
        </w:rPr>
        <w:t>richiesta</w:t>
      </w:r>
      <w:proofErr w:type="spellEnd"/>
      <w:r w:rsidRPr="00AE5C10">
        <w:rPr>
          <w:rFonts w:ascii="Times New Roman" w:hAnsi="Times New Roman" w:cs="Times New Roman"/>
        </w:rPr>
        <w:t xml:space="preserve"> per </w:t>
      </w:r>
      <w:proofErr w:type="spellStart"/>
      <w:r w:rsidRPr="00AE5C10">
        <w:rPr>
          <w:rFonts w:ascii="Times New Roman" w:hAnsi="Times New Roman" w:cs="Times New Roman"/>
        </w:rPr>
        <w:t>i</w:t>
      </w:r>
      <w:proofErr w:type="spellEnd"/>
      <w:r w:rsidRPr="00AE5C10">
        <w:rPr>
          <w:rFonts w:ascii="Times New Roman" w:hAnsi="Times New Roman" w:cs="Times New Roman"/>
        </w:rPr>
        <w:t xml:space="preserve"> </w:t>
      </w:r>
      <w:proofErr w:type="spellStart"/>
      <w:r w:rsidRPr="00AE5C10">
        <w:rPr>
          <w:rFonts w:ascii="Times New Roman" w:hAnsi="Times New Roman" w:cs="Times New Roman"/>
        </w:rPr>
        <w:t>concorsi</w:t>
      </w:r>
      <w:proofErr w:type="spellEnd"/>
      <w:r w:rsidRPr="00AE5C10">
        <w:rPr>
          <w:rFonts w:ascii="Times New Roman" w:hAnsi="Times New Roman" w:cs="Times New Roman"/>
        </w:rPr>
        <w:t xml:space="preserve">. </w:t>
      </w:r>
      <w:proofErr w:type="spellStart"/>
      <w:r w:rsidRPr="00AE5C10">
        <w:rPr>
          <w:rFonts w:ascii="Times New Roman" w:hAnsi="Times New Roman" w:cs="Times New Roman"/>
        </w:rPr>
        <w:t>L'utilizzo</w:t>
      </w:r>
      <w:proofErr w:type="spellEnd"/>
      <w:r w:rsidRPr="00AE5C10">
        <w:rPr>
          <w:rFonts w:ascii="Times New Roman" w:hAnsi="Times New Roman" w:cs="Times New Roman"/>
        </w:rPr>
        <w:t xml:space="preserve"> del </w:t>
      </w:r>
      <w:proofErr w:type="spellStart"/>
      <w:r w:rsidRPr="00AE5C10">
        <w:rPr>
          <w:rFonts w:ascii="Times New Roman" w:hAnsi="Times New Roman" w:cs="Times New Roman"/>
        </w:rPr>
        <w:t>personale</w:t>
      </w:r>
      <w:proofErr w:type="spellEnd"/>
      <w:r w:rsidRPr="00AE5C10">
        <w:rPr>
          <w:rFonts w:ascii="Times New Roman" w:hAnsi="Times New Roman" w:cs="Times New Roman"/>
        </w:rPr>
        <w:t xml:space="preserve"> in </w:t>
      </w:r>
      <w:proofErr w:type="spellStart"/>
      <w:r w:rsidRPr="00AE5C10">
        <w:rPr>
          <w:rFonts w:ascii="Times New Roman" w:hAnsi="Times New Roman" w:cs="Times New Roman"/>
        </w:rPr>
        <w:t>quiescenza</w:t>
      </w:r>
      <w:proofErr w:type="spellEnd"/>
      <w:r w:rsidRPr="00AE5C10">
        <w:rPr>
          <w:rFonts w:ascii="Times New Roman" w:hAnsi="Times New Roman" w:cs="Times New Roman"/>
        </w:rPr>
        <w:t xml:space="preserve"> non è </w:t>
      </w:r>
      <w:proofErr w:type="spellStart"/>
      <w:r w:rsidRPr="00AE5C10">
        <w:rPr>
          <w:rFonts w:ascii="Times New Roman" w:hAnsi="Times New Roman" w:cs="Times New Roman"/>
        </w:rPr>
        <w:t>consentito</w:t>
      </w:r>
      <w:proofErr w:type="spellEnd"/>
      <w:r w:rsidRPr="00AE5C10">
        <w:rPr>
          <w:rFonts w:ascii="Times New Roman" w:hAnsi="Times New Roman" w:cs="Times New Roman"/>
        </w:rPr>
        <w:t xml:space="preserve"> se </w:t>
      </w:r>
      <w:proofErr w:type="spellStart"/>
      <w:r w:rsidRPr="00AE5C10">
        <w:rPr>
          <w:rFonts w:ascii="Times New Roman" w:hAnsi="Times New Roman" w:cs="Times New Roman"/>
        </w:rPr>
        <w:t>il</w:t>
      </w:r>
      <w:proofErr w:type="spellEnd"/>
      <w:r w:rsidRPr="00AE5C10">
        <w:rPr>
          <w:rFonts w:ascii="Times New Roman" w:hAnsi="Times New Roman" w:cs="Times New Roman"/>
        </w:rPr>
        <w:t xml:space="preserve"> </w:t>
      </w:r>
      <w:proofErr w:type="spellStart"/>
      <w:r w:rsidRPr="00AE5C10">
        <w:rPr>
          <w:rFonts w:ascii="Times New Roman" w:hAnsi="Times New Roman" w:cs="Times New Roman"/>
        </w:rPr>
        <w:t>rapporto</w:t>
      </w:r>
      <w:proofErr w:type="spellEnd"/>
      <w:r w:rsidRPr="00AE5C10">
        <w:rPr>
          <w:rFonts w:ascii="Times New Roman" w:hAnsi="Times New Roman" w:cs="Times New Roman"/>
        </w:rPr>
        <w:t xml:space="preserve"> di </w:t>
      </w:r>
      <w:proofErr w:type="spellStart"/>
      <w:r w:rsidRPr="00AE5C10">
        <w:rPr>
          <w:rFonts w:ascii="Times New Roman" w:hAnsi="Times New Roman" w:cs="Times New Roman"/>
        </w:rPr>
        <w:t>servizio</w:t>
      </w:r>
      <w:proofErr w:type="spellEnd"/>
      <w:r w:rsidRPr="00AE5C10">
        <w:rPr>
          <w:rFonts w:ascii="Times New Roman" w:hAnsi="Times New Roman" w:cs="Times New Roman"/>
        </w:rPr>
        <w:t xml:space="preserve"> </w:t>
      </w:r>
      <w:proofErr w:type="spellStart"/>
      <w:r w:rsidRPr="00AE5C10">
        <w:rPr>
          <w:rFonts w:ascii="Times New Roman" w:hAnsi="Times New Roman" w:cs="Times New Roman"/>
        </w:rPr>
        <w:t>sia</w:t>
      </w:r>
      <w:proofErr w:type="spellEnd"/>
      <w:r w:rsidRPr="00AE5C10">
        <w:rPr>
          <w:rFonts w:ascii="Times New Roman" w:hAnsi="Times New Roman" w:cs="Times New Roman"/>
        </w:rPr>
        <w:t xml:space="preserve"> </w:t>
      </w:r>
      <w:proofErr w:type="spellStart"/>
      <w:r w:rsidRPr="00AE5C10">
        <w:rPr>
          <w:rFonts w:ascii="Times New Roman" w:hAnsi="Times New Roman" w:cs="Times New Roman"/>
        </w:rPr>
        <w:t>stato</w:t>
      </w:r>
      <w:proofErr w:type="spellEnd"/>
      <w:r w:rsidRPr="00AE5C10">
        <w:rPr>
          <w:rFonts w:ascii="Times New Roman" w:hAnsi="Times New Roman" w:cs="Times New Roman"/>
        </w:rPr>
        <w:t xml:space="preserve"> </w:t>
      </w:r>
      <w:proofErr w:type="spellStart"/>
      <w:r w:rsidRPr="00AE5C10">
        <w:rPr>
          <w:rFonts w:ascii="Times New Roman" w:hAnsi="Times New Roman" w:cs="Times New Roman"/>
        </w:rPr>
        <w:t>risolto</w:t>
      </w:r>
      <w:proofErr w:type="spellEnd"/>
      <w:r w:rsidRPr="00AE5C10">
        <w:rPr>
          <w:rFonts w:ascii="Times New Roman" w:hAnsi="Times New Roman" w:cs="Times New Roman"/>
        </w:rPr>
        <w:t xml:space="preserve"> per </w:t>
      </w:r>
      <w:proofErr w:type="spellStart"/>
      <w:r w:rsidRPr="00AE5C10">
        <w:rPr>
          <w:rFonts w:ascii="Times New Roman" w:hAnsi="Times New Roman" w:cs="Times New Roman"/>
        </w:rPr>
        <w:t>motivi</w:t>
      </w:r>
      <w:proofErr w:type="spellEnd"/>
      <w:r w:rsidRPr="00AE5C10">
        <w:rPr>
          <w:rFonts w:ascii="Times New Roman" w:hAnsi="Times New Roman" w:cs="Times New Roman"/>
        </w:rPr>
        <w:t xml:space="preserve"> </w:t>
      </w:r>
      <w:proofErr w:type="spellStart"/>
      <w:r w:rsidRPr="00AE5C10">
        <w:rPr>
          <w:rFonts w:ascii="Times New Roman" w:hAnsi="Times New Roman" w:cs="Times New Roman"/>
        </w:rPr>
        <w:t>disciplinari</w:t>
      </w:r>
      <w:proofErr w:type="spellEnd"/>
      <w:r w:rsidRPr="00AE5C10">
        <w:rPr>
          <w:rFonts w:ascii="Times New Roman" w:hAnsi="Times New Roman" w:cs="Times New Roman"/>
        </w:rPr>
        <w:t xml:space="preserve">, per </w:t>
      </w:r>
      <w:proofErr w:type="spellStart"/>
      <w:r w:rsidRPr="00AE5C10">
        <w:rPr>
          <w:rFonts w:ascii="Times New Roman" w:hAnsi="Times New Roman" w:cs="Times New Roman"/>
        </w:rPr>
        <w:t>ragioni</w:t>
      </w:r>
      <w:proofErr w:type="spellEnd"/>
      <w:r w:rsidRPr="00AE5C10">
        <w:rPr>
          <w:rFonts w:ascii="Times New Roman" w:hAnsi="Times New Roman" w:cs="Times New Roman"/>
        </w:rPr>
        <w:t xml:space="preserve"> di salute o per </w:t>
      </w:r>
      <w:proofErr w:type="spellStart"/>
      <w:r w:rsidRPr="00AE5C10">
        <w:rPr>
          <w:rFonts w:ascii="Times New Roman" w:hAnsi="Times New Roman" w:cs="Times New Roman"/>
        </w:rPr>
        <w:t>decadenza</w:t>
      </w:r>
      <w:proofErr w:type="spellEnd"/>
      <w:r w:rsidRPr="00AE5C10">
        <w:rPr>
          <w:rFonts w:ascii="Times New Roman" w:hAnsi="Times New Roman" w:cs="Times New Roman"/>
        </w:rPr>
        <w:t xml:space="preserve"> </w:t>
      </w:r>
      <w:proofErr w:type="spellStart"/>
      <w:r w:rsidRPr="00AE5C10">
        <w:rPr>
          <w:rFonts w:ascii="Times New Roman" w:hAnsi="Times New Roman" w:cs="Times New Roman"/>
        </w:rPr>
        <w:t>dall'impiego</w:t>
      </w:r>
      <w:proofErr w:type="spellEnd"/>
      <w:r w:rsidRPr="00AE5C10">
        <w:rPr>
          <w:rFonts w:ascii="Times New Roman" w:hAnsi="Times New Roman" w:cs="Times New Roman"/>
        </w:rPr>
        <w:t xml:space="preserve"> </w:t>
      </w:r>
      <w:proofErr w:type="spellStart"/>
      <w:r w:rsidRPr="00AE5C10">
        <w:rPr>
          <w:rFonts w:ascii="Times New Roman" w:hAnsi="Times New Roman" w:cs="Times New Roman"/>
        </w:rPr>
        <w:t>comunque</w:t>
      </w:r>
      <w:proofErr w:type="spellEnd"/>
      <w:r w:rsidRPr="00AE5C10">
        <w:rPr>
          <w:rFonts w:ascii="Times New Roman" w:hAnsi="Times New Roman" w:cs="Times New Roman"/>
        </w:rPr>
        <w:t xml:space="preserve"> </w:t>
      </w:r>
      <w:proofErr w:type="spellStart"/>
      <w:r w:rsidRPr="00AE5C10">
        <w:rPr>
          <w:rFonts w:ascii="Times New Roman" w:hAnsi="Times New Roman" w:cs="Times New Roman"/>
        </w:rPr>
        <w:t>determinata</w:t>
      </w:r>
      <w:proofErr w:type="spellEnd"/>
      <w:r w:rsidRPr="00AE5C10">
        <w:rPr>
          <w:rFonts w:ascii="Times New Roman" w:hAnsi="Times New Roman" w:cs="Times New Roman"/>
        </w:rPr>
        <w:t xml:space="preserve"> e, in </w:t>
      </w:r>
      <w:proofErr w:type="spellStart"/>
      <w:r w:rsidRPr="00AE5C10">
        <w:rPr>
          <w:rFonts w:ascii="Times New Roman" w:hAnsi="Times New Roman" w:cs="Times New Roman"/>
        </w:rPr>
        <w:t>ogni</w:t>
      </w:r>
      <w:proofErr w:type="spellEnd"/>
      <w:r w:rsidRPr="00AE5C10">
        <w:rPr>
          <w:rFonts w:ascii="Times New Roman" w:hAnsi="Times New Roman" w:cs="Times New Roman"/>
        </w:rPr>
        <w:t xml:space="preserve"> </w:t>
      </w:r>
      <w:proofErr w:type="spellStart"/>
      <w:r w:rsidRPr="00AE5C10">
        <w:rPr>
          <w:rFonts w:ascii="Times New Roman" w:hAnsi="Times New Roman" w:cs="Times New Roman"/>
        </w:rPr>
        <w:t>caso</w:t>
      </w:r>
      <w:proofErr w:type="spellEnd"/>
      <w:r w:rsidRPr="00AE5C10">
        <w:rPr>
          <w:rFonts w:ascii="Times New Roman" w:hAnsi="Times New Roman" w:cs="Times New Roman"/>
        </w:rPr>
        <w:t xml:space="preserve">, </w:t>
      </w:r>
      <w:proofErr w:type="spellStart"/>
      <w:r w:rsidRPr="00AE5C10">
        <w:rPr>
          <w:rFonts w:ascii="Times New Roman" w:hAnsi="Times New Roman" w:cs="Times New Roman"/>
        </w:rPr>
        <w:t>qualora</w:t>
      </w:r>
      <w:proofErr w:type="spellEnd"/>
      <w:r w:rsidRPr="00AE5C10">
        <w:rPr>
          <w:rFonts w:ascii="Times New Roman" w:hAnsi="Times New Roman" w:cs="Times New Roman"/>
        </w:rPr>
        <w:t xml:space="preserve"> la </w:t>
      </w:r>
      <w:proofErr w:type="spellStart"/>
      <w:r w:rsidRPr="00AE5C10">
        <w:rPr>
          <w:rFonts w:ascii="Times New Roman" w:hAnsi="Times New Roman" w:cs="Times New Roman"/>
        </w:rPr>
        <w:t>decorrenza</w:t>
      </w:r>
      <w:proofErr w:type="spellEnd"/>
      <w:r w:rsidRPr="00AE5C10">
        <w:rPr>
          <w:rFonts w:ascii="Times New Roman" w:hAnsi="Times New Roman" w:cs="Times New Roman"/>
        </w:rPr>
        <w:t xml:space="preserve"> del </w:t>
      </w:r>
      <w:proofErr w:type="spellStart"/>
      <w:r w:rsidRPr="00AE5C10">
        <w:rPr>
          <w:rFonts w:ascii="Times New Roman" w:hAnsi="Times New Roman" w:cs="Times New Roman"/>
        </w:rPr>
        <w:t>collocamento</w:t>
      </w:r>
      <w:proofErr w:type="spellEnd"/>
      <w:r w:rsidRPr="00AE5C10">
        <w:rPr>
          <w:rFonts w:ascii="Times New Roman" w:hAnsi="Times New Roman" w:cs="Times New Roman"/>
        </w:rPr>
        <w:t xml:space="preserve"> a </w:t>
      </w:r>
      <w:proofErr w:type="spellStart"/>
      <w:r w:rsidRPr="00AE5C10">
        <w:rPr>
          <w:rFonts w:ascii="Times New Roman" w:hAnsi="Times New Roman" w:cs="Times New Roman"/>
        </w:rPr>
        <w:t>riposo</w:t>
      </w:r>
      <w:proofErr w:type="spellEnd"/>
      <w:r w:rsidRPr="00AE5C10">
        <w:rPr>
          <w:rFonts w:ascii="Times New Roman" w:hAnsi="Times New Roman" w:cs="Times New Roman"/>
        </w:rPr>
        <w:t xml:space="preserve"> </w:t>
      </w:r>
      <w:proofErr w:type="spellStart"/>
      <w:r w:rsidRPr="00AE5C10">
        <w:rPr>
          <w:rFonts w:ascii="Times New Roman" w:hAnsi="Times New Roman" w:cs="Times New Roman"/>
        </w:rPr>
        <w:t>risalga</w:t>
      </w:r>
      <w:proofErr w:type="spellEnd"/>
      <w:r w:rsidRPr="00AE5C10">
        <w:rPr>
          <w:rFonts w:ascii="Times New Roman" w:hAnsi="Times New Roman" w:cs="Times New Roman"/>
        </w:rPr>
        <w:t xml:space="preserve"> </w:t>
      </w:r>
      <w:proofErr w:type="gramStart"/>
      <w:r w:rsidRPr="00AE5C10">
        <w:rPr>
          <w:rFonts w:ascii="Times New Roman" w:hAnsi="Times New Roman" w:cs="Times New Roman"/>
        </w:rPr>
        <w:t>a</w:t>
      </w:r>
      <w:proofErr w:type="gramEnd"/>
      <w:r w:rsidRPr="00AE5C10">
        <w:rPr>
          <w:rFonts w:ascii="Times New Roman" w:hAnsi="Times New Roman" w:cs="Times New Roman"/>
        </w:rPr>
        <w:t xml:space="preserve"> </w:t>
      </w:r>
      <w:proofErr w:type="spellStart"/>
      <w:r w:rsidRPr="00AE5C10">
        <w:rPr>
          <w:rFonts w:ascii="Times New Roman" w:hAnsi="Times New Roman" w:cs="Times New Roman"/>
        </w:rPr>
        <w:t>oltre</w:t>
      </w:r>
      <w:proofErr w:type="spellEnd"/>
      <w:r w:rsidRPr="00AE5C10">
        <w:rPr>
          <w:rFonts w:ascii="Times New Roman" w:hAnsi="Times New Roman" w:cs="Times New Roman"/>
        </w:rPr>
        <w:t xml:space="preserve"> un </w:t>
      </w:r>
      <w:proofErr w:type="spellStart"/>
      <w:r w:rsidRPr="00AE5C10">
        <w:rPr>
          <w:rFonts w:ascii="Times New Roman" w:hAnsi="Times New Roman" w:cs="Times New Roman"/>
        </w:rPr>
        <w:t>triennio</w:t>
      </w:r>
      <w:proofErr w:type="spellEnd"/>
      <w:r w:rsidRPr="00AE5C10">
        <w:rPr>
          <w:rFonts w:ascii="Times New Roman" w:hAnsi="Times New Roman" w:cs="Times New Roman"/>
        </w:rPr>
        <w:t xml:space="preserve"> </w:t>
      </w:r>
      <w:proofErr w:type="spellStart"/>
      <w:r w:rsidRPr="00AE5C10">
        <w:rPr>
          <w:rFonts w:ascii="Times New Roman" w:hAnsi="Times New Roman" w:cs="Times New Roman"/>
        </w:rPr>
        <w:t>dalla</w:t>
      </w:r>
      <w:proofErr w:type="spellEnd"/>
      <w:r w:rsidRPr="00AE5C10">
        <w:rPr>
          <w:rFonts w:ascii="Times New Roman" w:hAnsi="Times New Roman" w:cs="Times New Roman"/>
        </w:rPr>
        <w:t xml:space="preserve"> data di </w:t>
      </w:r>
      <w:proofErr w:type="spellStart"/>
      <w:r w:rsidRPr="00AE5C10">
        <w:rPr>
          <w:rFonts w:ascii="Times New Roman" w:hAnsi="Times New Roman" w:cs="Times New Roman"/>
        </w:rPr>
        <w:t>pubblicazione</w:t>
      </w:r>
      <w:proofErr w:type="spellEnd"/>
      <w:r w:rsidRPr="00AE5C10">
        <w:rPr>
          <w:rFonts w:ascii="Times New Roman" w:hAnsi="Times New Roman" w:cs="Times New Roman"/>
        </w:rPr>
        <w:t xml:space="preserve"> del bando di </w:t>
      </w:r>
      <w:proofErr w:type="spellStart"/>
      <w:r w:rsidRPr="00AE5C10">
        <w:rPr>
          <w:rFonts w:ascii="Times New Roman" w:hAnsi="Times New Roman" w:cs="Times New Roman"/>
        </w:rPr>
        <w:t>concorso</w:t>
      </w:r>
      <w:proofErr w:type="spellEnd"/>
      <w:r w:rsidRPr="00AE5C10">
        <w:rPr>
          <w:rFonts w:ascii="Times New Roman" w:hAnsi="Times New Roman" w:cs="Times New Roman"/>
        </w:rPr>
        <w:t>.</w:t>
      </w:r>
    </w:p>
    <w:p w14:paraId="602A90DF" w14:textId="77777777" w:rsidR="007F4A97" w:rsidRDefault="007F4A97" w:rsidP="007F4A97">
      <w:pPr>
        <w:pStyle w:val="Default"/>
        <w:rPr>
          <w:sz w:val="22"/>
          <w:szCs w:val="22"/>
        </w:rPr>
      </w:pPr>
    </w:p>
    <w:p w14:paraId="5C04AA34" w14:textId="77777777" w:rsidR="007F4A97" w:rsidRDefault="007F4A97" w:rsidP="007F4A97">
      <w:pPr>
        <w:pStyle w:val="Default"/>
        <w:pageBreakBefore/>
        <w:rPr>
          <w:sz w:val="22"/>
          <w:szCs w:val="22"/>
        </w:rPr>
      </w:pPr>
    </w:p>
    <w:sectPr w:rsidR="007F4A9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06304" w14:textId="77777777" w:rsidR="007E44C1" w:rsidRDefault="007E44C1" w:rsidP="00F77DEF">
      <w:pPr>
        <w:spacing w:after="0" w:line="240" w:lineRule="auto"/>
      </w:pPr>
      <w:r>
        <w:separator/>
      </w:r>
    </w:p>
  </w:endnote>
  <w:endnote w:type="continuationSeparator" w:id="0">
    <w:p w14:paraId="005F697E" w14:textId="77777777" w:rsidR="007E44C1" w:rsidRDefault="007E44C1" w:rsidP="00F77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6E149" w14:textId="77777777" w:rsidR="007E44C1" w:rsidRDefault="007E44C1" w:rsidP="00F77DEF">
      <w:pPr>
        <w:spacing w:after="0" w:line="240" w:lineRule="auto"/>
      </w:pPr>
      <w:r>
        <w:separator/>
      </w:r>
    </w:p>
  </w:footnote>
  <w:footnote w:type="continuationSeparator" w:id="0">
    <w:p w14:paraId="5F3D0FD9" w14:textId="77777777" w:rsidR="007E44C1" w:rsidRDefault="007E44C1" w:rsidP="00F77D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235A8"/>
    <w:multiLevelType w:val="hybridMultilevel"/>
    <w:tmpl w:val="93C2E3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54787"/>
    <w:multiLevelType w:val="hybridMultilevel"/>
    <w:tmpl w:val="7A708D0C"/>
    <w:lvl w:ilvl="0" w:tplc="38601E22">
      <w:start w:val="1"/>
      <w:numFmt w:val="lowerLetter"/>
      <w:lvlText w:val="%1)"/>
      <w:lvlJc w:val="left"/>
      <w:pPr>
        <w:ind w:left="354" w:hanging="360"/>
      </w:pPr>
      <w:rPr>
        <w:rFonts w:hint="default"/>
      </w:rPr>
    </w:lvl>
    <w:lvl w:ilvl="1" w:tplc="04100019" w:tentative="1">
      <w:start w:val="1"/>
      <w:numFmt w:val="lowerLetter"/>
      <w:lvlText w:val="%2."/>
      <w:lvlJc w:val="left"/>
      <w:pPr>
        <w:ind w:left="1074" w:hanging="360"/>
      </w:pPr>
    </w:lvl>
    <w:lvl w:ilvl="2" w:tplc="0410001B" w:tentative="1">
      <w:start w:val="1"/>
      <w:numFmt w:val="lowerRoman"/>
      <w:lvlText w:val="%3."/>
      <w:lvlJc w:val="right"/>
      <w:pPr>
        <w:ind w:left="1794" w:hanging="180"/>
      </w:pPr>
    </w:lvl>
    <w:lvl w:ilvl="3" w:tplc="0410000F" w:tentative="1">
      <w:start w:val="1"/>
      <w:numFmt w:val="decimal"/>
      <w:lvlText w:val="%4."/>
      <w:lvlJc w:val="left"/>
      <w:pPr>
        <w:ind w:left="2514" w:hanging="360"/>
      </w:pPr>
    </w:lvl>
    <w:lvl w:ilvl="4" w:tplc="04100019" w:tentative="1">
      <w:start w:val="1"/>
      <w:numFmt w:val="lowerLetter"/>
      <w:lvlText w:val="%5."/>
      <w:lvlJc w:val="left"/>
      <w:pPr>
        <w:ind w:left="3234" w:hanging="360"/>
      </w:pPr>
    </w:lvl>
    <w:lvl w:ilvl="5" w:tplc="0410001B" w:tentative="1">
      <w:start w:val="1"/>
      <w:numFmt w:val="lowerRoman"/>
      <w:lvlText w:val="%6."/>
      <w:lvlJc w:val="right"/>
      <w:pPr>
        <w:ind w:left="3954" w:hanging="180"/>
      </w:pPr>
    </w:lvl>
    <w:lvl w:ilvl="6" w:tplc="0410000F" w:tentative="1">
      <w:start w:val="1"/>
      <w:numFmt w:val="decimal"/>
      <w:lvlText w:val="%7."/>
      <w:lvlJc w:val="left"/>
      <w:pPr>
        <w:ind w:left="4674" w:hanging="360"/>
      </w:pPr>
    </w:lvl>
    <w:lvl w:ilvl="7" w:tplc="04100019" w:tentative="1">
      <w:start w:val="1"/>
      <w:numFmt w:val="lowerLetter"/>
      <w:lvlText w:val="%8."/>
      <w:lvlJc w:val="left"/>
      <w:pPr>
        <w:ind w:left="5394" w:hanging="360"/>
      </w:pPr>
    </w:lvl>
    <w:lvl w:ilvl="8" w:tplc="0410001B" w:tentative="1">
      <w:start w:val="1"/>
      <w:numFmt w:val="lowerRoman"/>
      <w:lvlText w:val="%9."/>
      <w:lvlJc w:val="right"/>
      <w:pPr>
        <w:ind w:left="611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33"/>
    <w:rsid w:val="0006023A"/>
    <w:rsid w:val="001C242C"/>
    <w:rsid w:val="002228F1"/>
    <w:rsid w:val="002A2614"/>
    <w:rsid w:val="003E74E2"/>
    <w:rsid w:val="003F7E33"/>
    <w:rsid w:val="004812D3"/>
    <w:rsid w:val="007E44C1"/>
    <w:rsid w:val="007F4A97"/>
    <w:rsid w:val="00814A32"/>
    <w:rsid w:val="0084434E"/>
    <w:rsid w:val="00AE5C10"/>
    <w:rsid w:val="00B75833"/>
    <w:rsid w:val="00F77D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9FC9E"/>
  <w15:chartTrackingRefBased/>
  <w15:docId w15:val="{19ED4989-1F6F-476E-807D-F07EEE20C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77DEF"/>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77DEF"/>
    <w:pPr>
      <w:ind w:left="720"/>
      <w:contextualSpacing/>
    </w:pPr>
  </w:style>
  <w:style w:type="paragraph" w:styleId="Testonotaapidipagina">
    <w:name w:val="footnote text"/>
    <w:basedOn w:val="Normale"/>
    <w:link w:val="TestonotaapidipaginaCarattere"/>
    <w:uiPriority w:val="99"/>
    <w:semiHidden/>
    <w:unhideWhenUsed/>
    <w:rsid w:val="00F77DE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77DEF"/>
    <w:rPr>
      <w:sz w:val="20"/>
      <w:szCs w:val="20"/>
      <w:lang w:val="en-US"/>
    </w:rPr>
  </w:style>
  <w:style w:type="character" w:styleId="Rimandonotaapidipagina">
    <w:name w:val="footnote reference"/>
    <w:basedOn w:val="Carpredefinitoparagrafo"/>
    <w:uiPriority w:val="99"/>
    <w:semiHidden/>
    <w:unhideWhenUsed/>
    <w:rsid w:val="00F77DEF"/>
    <w:rPr>
      <w:vertAlign w:val="superscript"/>
    </w:rPr>
  </w:style>
  <w:style w:type="paragraph" w:customStyle="1" w:styleId="Default">
    <w:name w:val="Default"/>
    <w:rsid w:val="007F4A9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656</Words>
  <Characters>3741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Geraldo Bonacci</dc:creator>
  <cp:keywords/>
  <dc:description/>
  <cp:lastModifiedBy>Michele Delle Cave</cp:lastModifiedBy>
  <cp:revision>2</cp:revision>
  <dcterms:created xsi:type="dcterms:W3CDTF">2024-09-18T08:09:00Z</dcterms:created>
  <dcterms:modified xsi:type="dcterms:W3CDTF">2024-09-18T08:09:00Z</dcterms:modified>
</cp:coreProperties>
</file>