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22"/>
          <w:szCs w:val="22"/>
        </w:rPr>
        <w:t>P</w:t>
      </w:r>
      <w:bookmarkStart w:id="0" w:name="_GoBack"/>
      <w:bookmarkEnd w:id="0"/>
      <w:r>
        <w:rPr>
          <w:rFonts w:ascii="Candara" w:hAnsi="Candara"/>
          <w:sz w:val="22"/>
          <w:szCs w:val="22"/>
        </w:rPr>
        <w:t xml:space="preserve">rot. n. </w:t>
      </w:r>
    </w:p>
    <w:p w:rsidR="00261D3F" w:rsidRDefault="00261D3F" w:rsidP="00261D3F">
      <w:pPr>
        <w:pStyle w:val="NormaleWeb"/>
        <w:spacing w:after="0"/>
        <w:ind w:left="4956" w:firstLine="709"/>
      </w:pPr>
      <w:r>
        <w:rPr>
          <w:rFonts w:ascii="Candara" w:hAnsi="Candara"/>
          <w:sz w:val="22"/>
          <w:szCs w:val="22"/>
        </w:rPr>
        <w:t>ALLA BANCA DI CREDITO POPOLARE</w:t>
      </w:r>
    </w:p>
    <w:p w:rsidR="00261D3F" w:rsidRDefault="00261D3F" w:rsidP="00261D3F">
      <w:pPr>
        <w:pStyle w:val="NormaleWeb"/>
        <w:spacing w:after="0"/>
        <w:ind w:left="4956" w:firstLine="709"/>
      </w:pPr>
      <w:r>
        <w:rPr>
          <w:rFonts w:ascii="Candara" w:hAnsi="Candara"/>
          <w:sz w:val="22"/>
          <w:szCs w:val="22"/>
        </w:rPr>
        <w:t>Tesoriere comunale</w:t>
      </w:r>
    </w:p>
    <w:p w:rsidR="00261D3F" w:rsidRDefault="00261D3F" w:rsidP="00261D3F">
      <w:pPr>
        <w:pStyle w:val="NormaleWeb"/>
        <w:spacing w:after="0"/>
        <w:ind w:left="4956" w:firstLine="709"/>
      </w:pPr>
      <w:r>
        <w:rPr>
          <w:rFonts w:ascii="Candara" w:hAnsi="Candara"/>
          <w:sz w:val="20"/>
          <w:szCs w:val="20"/>
        </w:rPr>
        <w:t>Agenzia di Maddaloni</w:t>
      </w:r>
    </w:p>
    <w:p w:rsidR="00261D3F" w:rsidRDefault="00261D3F" w:rsidP="00261D3F">
      <w:pPr>
        <w:pStyle w:val="NormaleWeb"/>
        <w:spacing w:after="0"/>
        <w:ind w:left="4956" w:firstLine="709"/>
      </w:pPr>
    </w:p>
    <w:p w:rsidR="00261D3F" w:rsidRDefault="00261D3F" w:rsidP="00261D3F">
      <w:pPr>
        <w:pStyle w:val="NormaleWeb"/>
        <w:spacing w:after="0"/>
        <w:ind w:left="4956" w:firstLine="709"/>
      </w:pPr>
    </w:p>
    <w:p w:rsidR="00261D3F" w:rsidRDefault="00261D3F" w:rsidP="00261D3F">
      <w:pPr>
        <w:pStyle w:val="NormaleWeb"/>
        <w:spacing w:after="0"/>
        <w:jc w:val="center"/>
      </w:pPr>
      <w:r>
        <w:rPr>
          <w:rFonts w:ascii="Candara" w:hAnsi="Candara"/>
          <w:b/>
          <w:bCs/>
          <w:i/>
          <w:iCs/>
          <w:sz w:val="22"/>
          <w:szCs w:val="22"/>
        </w:rPr>
        <w:t>DELEGA DI PAGAMENTO ENTRATE PROPRIE</w:t>
      </w:r>
    </w:p>
    <w:p w:rsidR="00261D3F" w:rsidRDefault="00261D3F" w:rsidP="00261D3F">
      <w:pPr>
        <w:pStyle w:val="NormaleWeb"/>
        <w:spacing w:after="0"/>
        <w:jc w:val="center"/>
      </w:pPr>
      <w:r>
        <w:rPr>
          <w:rFonts w:ascii="Candara" w:hAnsi="Candara"/>
          <w:sz w:val="18"/>
          <w:szCs w:val="18"/>
        </w:rPr>
        <w:t>(PROVINCE, COMUNI, UNIONI DI COMUNI, CITTA’, METROPOLITANE, COMUNITA’ MONTANE,</w:t>
      </w:r>
    </w:p>
    <w:p w:rsidR="00261D3F" w:rsidRDefault="00261D3F" w:rsidP="00261D3F">
      <w:pPr>
        <w:pStyle w:val="NormaleWeb"/>
        <w:spacing w:after="0"/>
        <w:jc w:val="center"/>
      </w:pPr>
      <w:r>
        <w:rPr>
          <w:rFonts w:ascii="Candara" w:hAnsi="Candara"/>
          <w:sz w:val="18"/>
          <w:szCs w:val="18"/>
        </w:rPr>
        <w:t>COMUNITA’ ISOLANE</w:t>
      </w:r>
      <w:r>
        <w:rPr>
          <w:rFonts w:ascii="Candara" w:hAnsi="Candara"/>
        </w:rPr>
        <w:t>)</w:t>
      </w:r>
    </w:p>
    <w:p w:rsidR="00261D3F" w:rsidRDefault="00261D3F" w:rsidP="00261D3F">
      <w:pPr>
        <w:pStyle w:val="NormaleWeb"/>
        <w:spacing w:after="0"/>
        <w:jc w:val="center"/>
      </w:pP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20"/>
          <w:szCs w:val="20"/>
        </w:rPr>
        <w:t>Visto l’art. 222 del D. lgs. 267/00 relativo le anticipazioni di tesoreria,</w:t>
      </w: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20"/>
          <w:szCs w:val="20"/>
        </w:rPr>
        <w:t>Visto che l’Ente si trova in anticipazioni di tesoreria,</w:t>
      </w: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20"/>
          <w:szCs w:val="20"/>
        </w:rPr>
        <w:t>Visto che in base alla normativa vigente il Tesoriere è tenuto al ripristino dell’anticipazione di tesoreria con l’utilizzo di somme non soggette a vincolo di destinazione,</w:t>
      </w: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20"/>
          <w:szCs w:val="20"/>
        </w:rPr>
        <w:t>Visto che tale ripristino permette all’Ente una minore spesa relativa gli interessi passivi sulle anticipazioni di tesoreria</w:t>
      </w: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  <w:jc w:val="center"/>
      </w:pPr>
      <w:r>
        <w:rPr>
          <w:rFonts w:ascii="Candara" w:hAnsi="Candara"/>
          <w:b/>
          <w:bCs/>
          <w:i/>
          <w:iCs/>
          <w:sz w:val="22"/>
          <w:szCs w:val="22"/>
        </w:rPr>
        <w:t>DELEGA</w:t>
      </w:r>
    </w:p>
    <w:p w:rsidR="00261D3F" w:rsidRDefault="00261D3F" w:rsidP="00261D3F">
      <w:pPr>
        <w:pStyle w:val="NormaleWeb"/>
        <w:spacing w:after="0"/>
        <w:jc w:val="center"/>
      </w:pP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20"/>
          <w:szCs w:val="20"/>
        </w:rPr>
        <w:t>Il Tesoriere dell’Ente suddetto ad utilizzare tutte le somme introitate e da introitare al ripristino totale dell’anticipazione di cassa fino all'importo massimo concesso, con assoluto divieto di destinare ad altro uso i proventi delegati e vincolati; fermo restando i pagamenti relativi agli emolumenti per il personale con i relativi oneri accessori.</w:t>
      </w: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22"/>
          <w:szCs w:val="22"/>
        </w:rPr>
        <w:t>Maddaloni, lì</w:t>
      </w:r>
    </w:p>
    <w:p w:rsidR="00261D3F" w:rsidRDefault="00261D3F" w:rsidP="00261D3F">
      <w:pPr>
        <w:pStyle w:val="NormaleWeb"/>
        <w:spacing w:after="0"/>
        <w:ind w:left="3538" w:firstLine="709"/>
      </w:pPr>
      <w:r>
        <w:rPr>
          <w:rFonts w:ascii="Candara" w:hAnsi="Candara"/>
          <w:sz w:val="20"/>
          <w:szCs w:val="20"/>
        </w:rPr>
        <w:t>(1)</w:t>
      </w:r>
    </w:p>
    <w:p w:rsidR="00261D3F" w:rsidRDefault="00261D3F" w:rsidP="00261D3F">
      <w:pPr>
        <w:pStyle w:val="NormaleWeb"/>
        <w:spacing w:after="0"/>
        <w:ind w:left="3538" w:firstLine="709"/>
      </w:pPr>
      <w:r>
        <w:t>……………………………………………………………………</w:t>
      </w: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20"/>
          <w:szCs w:val="20"/>
        </w:rPr>
        <w:t>(timbro e firma)</w:t>
      </w: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  <w:jc w:val="center"/>
      </w:pPr>
      <w:r>
        <w:rPr>
          <w:rFonts w:ascii="Candara" w:hAnsi="Candara"/>
          <w:b/>
          <w:bCs/>
          <w:sz w:val="20"/>
          <w:szCs w:val="20"/>
        </w:rPr>
        <w:lastRenderedPageBreak/>
        <w:t>RELATA DI NOTIFICA</w:t>
      </w: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20"/>
          <w:szCs w:val="20"/>
        </w:rPr>
        <w:t>Il sottoscritto ________________________________ _______________________________ dichiara di avere</w:t>
      </w:r>
    </w:p>
    <w:p w:rsidR="00261D3F" w:rsidRDefault="00261D3F" w:rsidP="00261D3F">
      <w:pPr>
        <w:pStyle w:val="NormaleWeb"/>
        <w:spacing w:after="0"/>
        <w:ind w:left="1418" w:firstLine="709"/>
      </w:pPr>
      <w:r>
        <w:rPr>
          <w:rFonts w:ascii="Candara" w:hAnsi="Candara"/>
          <w:sz w:val="20"/>
          <w:szCs w:val="20"/>
        </w:rPr>
        <w:t>(generalità) (qualifica del notificatore)</w:t>
      </w: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20"/>
          <w:szCs w:val="20"/>
        </w:rPr>
        <w:t>in data odierna notificato il presente atto di delega al Tesoriere sotto indicato:</w:t>
      </w: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/>
      </w:pPr>
    </w:p>
    <w:p w:rsidR="00261D3F" w:rsidRDefault="00261D3F" w:rsidP="00261D3F">
      <w:pPr>
        <w:pStyle w:val="NormaleWeb"/>
        <w:spacing w:after="0"/>
        <w:ind w:left="4247" w:firstLine="709"/>
      </w:pPr>
      <w:r>
        <w:rPr>
          <w:rFonts w:ascii="Candara" w:hAnsi="Candara"/>
          <w:sz w:val="20"/>
          <w:szCs w:val="20"/>
        </w:rPr>
        <w:t>(ragione sociale)</w:t>
      </w: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20"/>
          <w:szCs w:val="20"/>
        </w:rPr>
        <w:t>consegnandone copia nelle mani del Sig. ____________________________________ dei poteri di formalmente munito di firma e rappresentanza</w:t>
      </w: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20"/>
          <w:szCs w:val="20"/>
        </w:rPr>
        <w:t>Maddaloni, lì …………………………………………………</w:t>
      </w:r>
    </w:p>
    <w:p w:rsidR="00261D3F" w:rsidRDefault="00261D3F" w:rsidP="00261D3F">
      <w:pPr>
        <w:pStyle w:val="NormaleWeb"/>
        <w:spacing w:after="0"/>
        <w:ind w:left="7082"/>
      </w:pPr>
      <w:r>
        <w:rPr>
          <w:rFonts w:ascii="Candara" w:hAnsi="Candara"/>
          <w:sz w:val="20"/>
          <w:szCs w:val="20"/>
        </w:rPr>
        <w:t>(firma)</w:t>
      </w: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15"/>
          <w:szCs w:val="15"/>
        </w:rPr>
        <w:t>(1) Il Dirigente/Responsabile del servizio.</w:t>
      </w: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15"/>
          <w:szCs w:val="15"/>
        </w:rPr>
        <w:t>(2) Numero degli anni di ammortamento</w:t>
      </w: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15"/>
          <w:szCs w:val="15"/>
        </w:rPr>
        <w:t>(3) Ammontare della rata semestrale di ammortamento</w:t>
      </w: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15"/>
          <w:szCs w:val="15"/>
        </w:rPr>
        <w:t>(4) Specificare il periodo di ammortamento, indicando giorno, mese ed anno di inizio e fine dello stesso.</w:t>
      </w: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15"/>
          <w:szCs w:val="15"/>
        </w:rPr>
        <w:t>(5) Luogo e data di emissione della delega</w:t>
      </w: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  <w:jc w:val="center"/>
      </w:pPr>
      <w:r>
        <w:rPr>
          <w:rFonts w:ascii="Candara" w:hAnsi="Candara"/>
          <w:sz w:val="22"/>
          <w:szCs w:val="22"/>
        </w:rPr>
        <w:t>Decreto Legislativo 18 agosto 2000, n. 267</w:t>
      </w:r>
    </w:p>
    <w:p w:rsidR="00261D3F" w:rsidRDefault="00261D3F" w:rsidP="00261D3F">
      <w:pPr>
        <w:pStyle w:val="NormaleWeb"/>
        <w:spacing w:after="0"/>
        <w:jc w:val="center"/>
      </w:pPr>
      <w:r>
        <w:rPr>
          <w:rFonts w:ascii="Candara" w:hAnsi="Candara"/>
          <w:sz w:val="22"/>
          <w:szCs w:val="22"/>
        </w:rPr>
        <w:t>Art. 206</w:t>
      </w:r>
    </w:p>
    <w:p w:rsidR="00261D3F" w:rsidRDefault="00261D3F" w:rsidP="00261D3F">
      <w:pPr>
        <w:pStyle w:val="NormaleWeb"/>
        <w:spacing w:after="0"/>
        <w:jc w:val="center"/>
      </w:pPr>
      <w:r>
        <w:rPr>
          <w:rFonts w:ascii="Candara" w:hAnsi="Candara"/>
          <w:sz w:val="22"/>
          <w:szCs w:val="22"/>
        </w:rPr>
        <w:t>(Delegazioni di pagamento)</w:t>
      </w:r>
    </w:p>
    <w:p w:rsidR="00261D3F" w:rsidRDefault="00261D3F" w:rsidP="00261D3F">
      <w:pPr>
        <w:pStyle w:val="NormaleWeb"/>
        <w:spacing w:after="0"/>
        <w:jc w:val="center"/>
      </w:pP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22"/>
          <w:szCs w:val="22"/>
        </w:rPr>
        <w:t>1. Quale garanzia del pagamento delle rate di ammortamento dei mutui e dei prestiti di enti locali</w:t>
      </w: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22"/>
          <w:szCs w:val="22"/>
        </w:rPr>
        <w:t>possono rilasciare delegazione di pagamento a valere sulle entrate afferenti ai primi tre titoli del</w:t>
      </w: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22"/>
          <w:szCs w:val="22"/>
        </w:rPr>
        <w:t>bilancio annuale. Per le comunità montane il riferimento va fatto ai primi due titoli dell’entrata.</w:t>
      </w: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22"/>
          <w:szCs w:val="22"/>
        </w:rPr>
        <w:t>2. L’atto di delega, non soggetto ad accettazione, è notificato al tesoriere da parte dell’ente locale</w:t>
      </w: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22"/>
          <w:szCs w:val="22"/>
        </w:rPr>
        <w:t>e costituisce titolo esecutivo.</w:t>
      </w: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  <w:jc w:val="center"/>
      </w:pPr>
      <w:r>
        <w:rPr>
          <w:rFonts w:ascii="Candara" w:hAnsi="Candara"/>
          <w:sz w:val="22"/>
          <w:szCs w:val="22"/>
        </w:rPr>
        <w:t>Art. 220</w:t>
      </w:r>
    </w:p>
    <w:p w:rsidR="00261D3F" w:rsidRDefault="00261D3F" w:rsidP="00261D3F">
      <w:pPr>
        <w:pStyle w:val="NormaleWeb"/>
        <w:spacing w:after="0"/>
        <w:jc w:val="center"/>
      </w:pPr>
      <w:r>
        <w:rPr>
          <w:rFonts w:ascii="Candara" w:hAnsi="Candara"/>
          <w:sz w:val="22"/>
          <w:szCs w:val="22"/>
        </w:rPr>
        <w:t>(Obblighi del tesoriere per le delegazioni di pagamento)</w:t>
      </w:r>
    </w:p>
    <w:p w:rsidR="00261D3F" w:rsidRDefault="00261D3F" w:rsidP="00261D3F">
      <w:pPr>
        <w:pStyle w:val="NormaleWeb"/>
        <w:spacing w:after="0"/>
        <w:jc w:val="center"/>
      </w:pPr>
    </w:p>
    <w:p w:rsidR="00261D3F" w:rsidRDefault="00261D3F" w:rsidP="00261D3F">
      <w:pPr>
        <w:pStyle w:val="NormaleWeb"/>
        <w:spacing w:after="0"/>
        <w:jc w:val="center"/>
      </w:pP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22"/>
          <w:szCs w:val="22"/>
        </w:rPr>
        <w:t>1. A seguito della notifica degli atti di delegazione di pagamento di cui all’articolo 206 il tesoriere è</w:t>
      </w: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22"/>
          <w:szCs w:val="22"/>
        </w:rPr>
        <w:t>tenuto a versare l’importo dovuto ai creditori alle scadenze prescritte, con comminatoria</w:t>
      </w:r>
    </w:p>
    <w:p w:rsidR="00261D3F" w:rsidRDefault="00261D3F" w:rsidP="00261D3F">
      <w:pPr>
        <w:pStyle w:val="NormaleWeb"/>
        <w:spacing w:after="0"/>
      </w:pPr>
      <w:r>
        <w:rPr>
          <w:rFonts w:ascii="Candara" w:hAnsi="Candara"/>
          <w:sz w:val="22"/>
          <w:szCs w:val="22"/>
        </w:rPr>
        <w:t>dell’indennità di mora in caso di ritardato pagamento.</w:t>
      </w: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261D3F" w:rsidRDefault="00261D3F" w:rsidP="00261D3F">
      <w:pPr>
        <w:pStyle w:val="NormaleWeb"/>
        <w:spacing w:after="0"/>
      </w:pPr>
    </w:p>
    <w:p w:rsidR="00476C79" w:rsidRDefault="00476C79"/>
    <w:sectPr w:rsidR="00476C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3F"/>
    <w:rsid w:val="00261D3F"/>
    <w:rsid w:val="004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4DE7"/>
  <w15:chartTrackingRefBased/>
  <w15:docId w15:val="{9139110A-83E7-4D80-982F-D6D7C857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61D3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Delle Cave</dc:creator>
  <cp:keywords/>
  <dc:description/>
  <cp:lastModifiedBy>Michele Delle Cave</cp:lastModifiedBy>
  <cp:revision>1</cp:revision>
  <dcterms:created xsi:type="dcterms:W3CDTF">2024-12-03T10:00:00Z</dcterms:created>
  <dcterms:modified xsi:type="dcterms:W3CDTF">2024-12-03T10:01:00Z</dcterms:modified>
</cp:coreProperties>
</file>