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46C" w:rsidRDefault="002F6CCD">
      <w:pPr>
        <w:spacing w:after="38" w:line="259" w:lineRule="auto"/>
        <w:ind w:left="0" w:right="0" w:firstLine="0"/>
        <w:jc w:val="left"/>
      </w:pPr>
      <w:r>
        <w:rPr>
          <w:sz w:val="10"/>
        </w:rPr>
        <w:t xml:space="preserve"> </w:t>
      </w:r>
    </w:p>
    <w:p w:rsidR="009D446C" w:rsidRDefault="002F6CCD">
      <w:pPr>
        <w:spacing w:after="137" w:line="216" w:lineRule="auto"/>
        <w:ind w:left="0" w:right="4039" w:firstLine="4178"/>
        <w:jc w:val="left"/>
      </w:pPr>
      <w:r>
        <w:rPr>
          <w:sz w:val="20"/>
        </w:rPr>
        <w:t xml:space="preserve"> </w:t>
      </w:r>
      <w:r>
        <w:rPr>
          <w:sz w:val="21"/>
        </w:rPr>
        <w:t xml:space="preserve"> </w:t>
      </w:r>
    </w:p>
    <w:p w:rsidR="009D446C" w:rsidRDefault="009D446C">
      <w:pPr>
        <w:spacing w:after="0" w:line="259" w:lineRule="auto"/>
        <w:ind w:left="0" w:right="0" w:firstLine="0"/>
        <w:jc w:val="left"/>
      </w:pPr>
    </w:p>
    <w:p w:rsidR="009D446C" w:rsidRDefault="002F6CCD">
      <w:pPr>
        <w:spacing w:after="48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:rsidR="009D446C" w:rsidRDefault="002F6CCD">
      <w:pPr>
        <w:spacing w:after="1" w:line="357" w:lineRule="auto"/>
        <w:ind w:left="13" w:right="0"/>
        <w:jc w:val="center"/>
      </w:pPr>
      <w:r>
        <w:rPr>
          <w:sz w:val="28"/>
        </w:rPr>
        <w:t xml:space="preserve">REGOLAMENTO COMUNALE PER LA TUTELA E VALORIZZAZIONE DELLE ATTIVITÀ AGRO-ALIMENTARI TRADIZIONALI LOCALI. </w:t>
      </w:r>
    </w:p>
    <w:p w:rsidR="009D446C" w:rsidRDefault="002F6CCD">
      <w:pPr>
        <w:spacing w:after="1" w:line="357" w:lineRule="auto"/>
        <w:ind w:left="13" w:right="3"/>
        <w:jc w:val="center"/>
      </w:pPr>
      <w:r>
        <w:rPr>
          <w:sz w:val="28"/>
        </w:rPr>
        <w:t xml:space="preserve">ISTITUZIONE DELLA “De.C.O.” - DENOMINAZIONE COMUNALE DI ORIGINE.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:rsidR="009D446C" w:rsidRPr="00B8297A" w:rsidRDefault="009D446C">
      <w:pPr>
        <w:spacing w:after="0" w:line="259" w:lineRule="auto"/>
        <w:ind w:left="0" w:right="0" w:firstLine="0"/>
        <w:jc w:val="left"/>
        <w:rPr>
          <w:szCs w:val="24"/>
        </w:rPr>
      </w:pPr>
    </w:p>
    <w:p w:rsidR="009D446C" w:rsidRPr="00B8297A" w:rsidRDefault="002F6CCD">
      <w:pPr>
        <w:spacing w:after="40" w:line="259" w:lineRule="auto"/>
        <w:ind w:left="242" w:right="0"/>
        <w:jc w:val="left"/>
        <w:rPr>
          <w:szCs w:val="24"/>
        </w:rPr>
      </w:pPr>
      <w:r w:rsidRPr="00B8297A">
        <w:rPr>
          <w:szCs w:val="24"/>
        </w:rPr>
        <w:t xml:space="preserve">INDICE: </w:t>
      </w:r>
    </w:p>
    <w:p w:rsidR="009D446C" w:rsidRPr="00B8297A" w:rsidRDefault="002F6CCD">
      <w:pPr>
        <w:spacing w:after="0" w:line="259" w:lineRule="auto"/>
        <w:ind w:left="0" w:right="0" w:firstLine="0"/>
        <w:jc w:val="left"/>
        <w:rPr>
          <w:szCs w:val="24"/>
        </w:rPr>
      </w:pPr>
      <w:r w:rsidRPr="00B8297A">
        <w:rPr>
          <w:szCs w:val="24"/>
        </w:rPr>
        <w:t xml:space="preserve"> </w:t>
      </w:r>
    </w:p>
    <w:p w:rsidR="009D446C" w:rsidRPr="00B8297A" w:rsidRDefault="002F6CCD">
      <w:pPr>
        <w:spacing w:after="104" w:line="259" w:lineRule="auto"/>
        <w:ind w:left="242" w:right="0"/>
        <w:jc w:val="left"/>
        <w:rPr>
          <w:szCs w:val="24"/>
        </w:rPr>
      </w:pPr>
      <w:r w:rsidRPr="00B8297A">
        <w:rPr>
          <w:szCs w:val="24"/>
        </w:rPr>
        <w:t xml:space="preserve">Art. 1 Finalità e ambito di applicazione. </w:t>
      </w:r>
    </w:p>
    <w:p w:rsidR="009D446C" w:rsidRPr="00B8297A" w:rsidRDefault="002F6CCD">
      <w:pPr>
        <w:spacing w:after="104" w:line="259" w:lineRule="auto"/>
        <w:ind w:left="242" w:right="0"/>
        <w:jc w:val="left"/>
        <w:rPr>
          <w:szCs w:val="24"/>
        </w:rPr>
      </w:pPr>
      <w:r w:rsidRPr="00B8297A">
        <w:rPr>
          <w:szCs w:val="24"/>
        </w:rPr>
        <w:t xml:space="preserve">Art. 2 Istituzione di un albo comunale delle iniziative e manifestazioni. </w:t>
      </w:r>
    </w:p>
    <w:p w:rsidR="009D446C" w:rsidRPr="00B8297A" w:rsidRDefault="002F6CCD">
      <w:pPr>
        <w:spacing w:after="104" w:line="259" w:lineRule="auto"/>
        <w:ind w:left="242" w:right="0"/>
        <w:jc w:val="left"/>
        <w:rPr>
          <w:szCs w:val="24"/>
        </w:rPr>
      </w:pPr>
      <w:r w:rsidRPr="00B8297A">
        <w:rPr>
          <w:szCs w:val="24"/>
        </w:rPr>
        <w:t xml:space="preserve">Art. 3 Istituzione del Registro De.C.O. </w:t>
      </w:r>
    </w:p>
    <w:p w:rsidR="009D446C" w:rsidRPr="00B8297A" w:rsidRDefault="002F6CCD">
      <w:pPr>
        <w:spacing w:after="104" w:line="259" w:lineRule="auto"/>
        <w:ind w:left="242" w:right="0"/>
        <w:jc w:val="left"/>
        <w:rPr>
          <w:szCs w:val="24"/>
        </w:rPr>
      </w:pPr>
      <w:r w:rsidRPr="00B8297A">
        <w:rPr>
          <w:szCs w:val="24"/>
        </w:rPr>
        <w:t xml:space="preserve">Art. 4 Richieste ai fini dell’iscrizione nel Registro De.C.O. </w:t>
      </w:r>
    </w:p>
    <w:p w:rsidR="009D446C" w:rsidRPr="00B8297A" w:rsidRDefault="002F6CCD">
      <w:pPr>
        <w:spacing w:after="104" w:line="259" w:lineRule="auto"/>
        <w:ind w:left="242" w:right="0"/>
        <w:jc w:val="left"/>
        <w:rPr>
          <w:szCs w:val="24"/>
        </w:rPr>
      </w:pPr>
      <w:r w:rsidRPr="00B8297A">
        <w:rPr>
          <w:szCs w:val="24"/>
        </w:rPr>
        <w:t xml:space="preserve">Art. 5 Logo della De.C.O. </w:t>
      </w:r>
    </w:p>
    <w:p w:rsidR="009D446C" w:rsidRPr="00B8297A" w:rsidRDefault="002F6CCD">
      <w:pPr>
        <w:spacing w:after="104" w:line="259" w:lineRule="auto"/>
        <w:ind w:left="242" w:right="0"/>
        <w:jc w:val="left"/>
        <w:rPr>
          <w:szCs w:val="24"/>
        </w:rPr>
      </w:pPr>
      <w:r w:rsidRPr="00B8297A">
        <w:rPr>
          <w:szCs w:val="24"/>
        </w:rPr>
        <w:t xml:space="preserve">Art.6 La struttura organizzativa. </w:t>
      </w:r>
    </w:p>
    <w:p w:rsidR="009D446C" w:rsidRPr="00B8297A" w:rsidRDefault="002F6CCD">
      <w:pPr>
        <w:spacing w:after="104" w:line="259" w:lineRule="auto"/>
        <w:ind w:left="242" w:right="0"/>
        <w:jc w:val="left"/>
        <w:rPr>
          <w:szCs w:val="24"/>
        </w:rPr>
      </w:pPr>
      <w:r w:rsidRPr="00B8297A">
        <w:rPr>
          <w:szCs w:val="24"/>
        </w:rPr>
        <w:t xml:space="preserve">Art. 7 Le iniziative comunali. </w:t>
      </w:r>
    </w:p>
    <w:p w:rsidR="009D446C" w:rsidRPr="00B8297A" w:rsidRDefault="002F6CCD">
      <w:pPr>
        <w:spacing w:after="104" w:line="259" w:lineRule="auto"/>
        <w:ind w:left="242" w:right="0"/>
        <w:jc w:val="left"/>
        <w:rPr>
          <w:szCs w:val="24"/>
        </w:rPr>
      </w:pPr>
      <w:r w:rsidRPr="00B8297A">
        <w:rPr>
          <w:szCs w:val="24"/>
        </w:rPr>
        <w:t xml:space="preserve">Art. 8 Le tutele e le garanzie. </w:t>
      </w:r>
    </w:p>
    <w:p w:rsidR="009D446C" w:rsidRPr="00B8297A" w:rsidRDefault="002F6CCD">
      <w:pPr>
        <w:spacing w:after="104" w:line="259" w:lineRule="auto"/>
        <w:ind w:left="242" w:right="0"/>
        <w:jc w:val="left"/>
        <w:rPr>
          <w:szCs w:val="24"/>
        </w:rPr>
      </w:pPr>
      <w:r w:rsidRPr="00B8297A">
        <w:rPr>
          <w:szCs w:val="24"/>
        </w:rPr>
        <w:t xml:space="preserve">Art. 9 Attività di coordinamento. </w:t>
      </w:r>
    </w:p>
    <w:p w:rsidR="009D446C" w:rsidRPr="00B8297A" w:rsidRDefault="002F6CCD">
      <w:pPr>
        <w:spacing w:after="104" w:line="259" w:lineRule="auto"/>
        <w:ind w:left="242" w:right="0"/>
        <w:jc w:val="left"/>
        <w:rPr>
          <w:szCs w:val="24"/>
        </w:rPr>
      </w:pPr>
      <w:r w:rsidRPr="00B8297A">
        <w:rPr>
          <w:szCs w:val="24"/>
        </w:rPr>
        <w:t xml:space="preserve">Art. 10 Rinvio alle norme statali e regionali. </w:t>
      </w:r>
    </w:p>
    <w:p w:rsidR="009D446C" w:rsidRPr="00B8297A" w:rsidRDefault="002F6CCD">
      <w:pPr>
        <w:spacing w:after="104" w:line="259" w:lineRule="auto"/>
        <w:ind w:left="242" w:right="0"/>
        <w:jc w:val="left"/>
        <w:rPr>
          <w:szCs w:val="24"/>
        </w:rPr>
      </w:pPr>
      <w:r w:rsidRPr="00B8297A">
        <w:rPr>
          <w:szCs w:val="24"/>
        </w:rPr>
        <w:t xml:space="preserve">Art. 11 Norme finali. </w:t>
      </w:r>
    </w:p>
    <w:p w:rsidR="00B8297A" w:rsidRDefault="00B8297A">
      <w:pPr>
        <w:pStyle w:val="Titolo1"/>
        <w:ind w:left="474" w:right="360"/>
      </w:pPr>
    </w:p>
    <w:p w:rsidR="00B8297A" w:rsidRDefault="00B8297A">
      <w:pPr>
        <w:pStyle w:val="Titolo1"/>
        <w:ind w:left="474" w:right="360"/>
      </w:pPr>
    </w:p>
    <w:p w:rsidR="00B8297A" w:rsidRDefault="00B8297A">
      <w:pPr>
        <w:pStyle w:val="Titolo1"/>
        <w:ind w:left="474" w:right="360"/>
      </w:pPr>
    </w:p>
    <w:p w:rsidR="00B8297A" w:rsidRDefault="00B8297A">
      <w:pPr>
        <w:pStyle w:val="Titolo1"/>
        <w:ind w:left="474" w:right="360"/>
      </w:pPr>
    </w:p>
    <w:p w:rsidR="00B8297A" w:rsidRDefault="00B8297A">
      <w:pPr>
        <w:pStyle w:val="Titolo1"/>
        <w:ind w:left="474" w:right="360"/>
      </w:pPr>
    </w:p>
    <w:p w:rsidR="00B8297A" w:rsidRDefault="00B8297A">
      <w:pPr>
        <w:pStyle w:val="Titolo1"/>
        <w:ind w:left="474" w:right="360"/>
      </w:pPr>
    </w:p>
    <w:p w:rsidR="00B8297A" w:rsidRDefault="00B8297A">
      <w:pPr>
        <w:pStyle w:val="Titolo1"/>
        <w:ind w:left="474" w:right="360"/>
      </w:pPr>
    </w:p>
    <w:p w:rsidR="00B8297A" w:rsidRDefault="00B8297A">
      <w:pPr>
        <w:pStyle w:val="Titolo1"/>
        <w:ind w:left="474" w:right="360"/>
      </w:pPr>
    </w:p>
    <w:p w:rsidR="00B8297A" w:rsidRDefault="00B8297A">
      <w:pPr>
        <w:pStyle w:val="Titolo1"/>
        <w:ind w:left="474" w:right="360"/>
      </w:pPr>
    </w:p>
    <w:p w:rsidR="00B8297A" w:rsidRDefault="00B8297A">
      <w:pPr>
        <w:pStyle w:val="Titolo1"/>
        <w:ind w:left="474" w:right="360"/>
      </w:pPr>
    </w:p>
    <w:p w:rsidR="00B8297A" w:rsidRDefault="00B8297A">
      <w:pPr>
        <w:pStyle w:val="Titolo1"/>
        <w:ind w:left="474" w:right="360"/>
      </w:pPr>
    </w:p>
    <w:p w:rsidR="00B8297A" w:rsidRDefault="00B8297A">
      <w:pPr>
        <w:pStyle w:val="Titolo1"/>
        <w:ind w:left="474" w:right="360"/>
      </w:pPr>
    </w:p>
    <w:p w:rsidR="00B8297A" w:rsidRDefault="00B8297A">
      <w:pPr>
        <w:pStyle w:val="Titolo1"/>
        <w:ind w:left="474" w:right="360"/>
      </w:pPr>
    </w:p>
    <w:p w:rsidR="00B8297A" w:rsidRDefault="00B8297A">
      <w:pPr>
        <w:pStyle w:val="Titolo1"/>
        <w:ind w:left="474" w:right="360"/>
      </w:pPr>
    </w:p>
    <w:p w:rsidR="00B8297A" w:rsidRDefault="00B8297A">
      <w:pPr>
        <w:pStyle w:val="Titolo1"/>
        <w:ind w:left="474" w:right="360"/>
      </w:pPr>
    </w:p>
    <w:p w:rsidR="00B8297A" w:rsidRDefault="00B8297A">
      <w:pPr>
        <w:pStyle w:val="Titolo1"/>
        <w:ind w:left="474" w:right="360"/>
      </w:pPr>
    </w:p>
    <w:p w:rsidR="009D446C" w:rsidRDefault="002F6CCD">
      <w:pPr>
        <w:pStyle w:val="Titolo1"/>
        <w:ind w:left="474" w:right="360"/>
      </w:pPr>
      <w:r>
        <w:t xml:space="preserve">Art. 1 </w:t>
      </w:r>
    </w:p>
    <w:p w:rsidR="009D446C" w:rsidRDefault="002F6CCD">
      <w:pPr>
        <w:spacing w:after="12" w:line="259" w:lineRule="auto"/>
        <w:ind w:left="0" w:right="0" w:firstLine="0"/>
        <w:jc w:val="left"/>
      </w:pPr>
      <w:r>
        <w:rPr>
          <w:sz w:val="25"/>
        </w:rPr>
        <w:t xml:space="preserve"> </w:t>
      </w:r>
    </w:p>
    <w:p w:rsidR="009D446C" w:rsidRDefault="002F6CCD">
      <w:pPr>
        <w:spacing w:after="200" w:line="259" w:lineRule="auto"/>
        <w:ind w:left="115" w:right="4"/>
        <w:jc w:val="center"/>
      </w:pPr>
      <w:r>
        <w:rPr>
          <w:sz w:val="28"/>
        </w:rPr>
        <w:t xml:space="preserve">Finalità e ambito di applicazione </w:t>
      </w:r>
    </w:p>
    <w:p w:rsidR="009D446C" w:rsidRDefault="002F6CCD">
      <w:pPr>
        <w:numPr>
          <w:ilvl w:val="0"/>
          <w:numId w:val="1"/>
        </w:numPr>
        <w:ind w:right="3" w:hanging="286"/>
      </w:pPr>
      <w:r>
        <w:t xml:space="preserve">Il presente </w:t>
      </w:r>
      <w:r w:rsidR="00B8297A">
        <w:t>R</w:t>
      </w:r>
      <w:r>
        <w:t xml:space="preserve">egolamento ha per oggetto la tutela e la valorizzazione delle attività agro-alimentari tradizionali locali, che costituiscono una risorsa economica, culturale e turistica e uno strumento di promozione dell’immagine del paese.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9D446C" w:rsidRDefault="002F6CCD">
      <w:pPr>
        <w:numPr>
          <w:ilvl w:val="0"/>
          <w:numId w:val="1"/>
        </w:numPr>
        <w:ind w:right="3" w:hanging="286"/>
      </w:pPr>
      <w:r>
        <w:t xml:space="preserve">Il Comune di </w:t>
      </w:r>
      <w:r w:rsidR="00B8297A">
        <w:t>Maddaloni</w:t>
      </w:r>
      <w:r>
        <w:t xml:space="preserve"> riconosce tra le proprie finalità istituzionali l'assunzione di opportune iniziative dirette a sostenere e tutelare il patrimonio di tradizioni, cognizioni ed esperienze riguardanti prodotti agro-alimentari e gastronomici, sagre e manifestazioni che, per la loro tipicità locale e radicamento sul territorio, sono motivo di particolare interesse pubblico e meritevoli di valorizzazione. Nel contempo, in attuazione dei principi statutari, e nell’ambito delle politiche di sostegno del comparto produttivo, intende anche valorizzare, attraverso le produzioni tipiche locali, il ruolo e la professionalità delle imprese agricole, artigianali e commerciali del territorio santarpinese.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9D446C" w:rsidRDefault="002F6CCD">
      <w:pPr>
        <w:numPr>
          <w:ilvl w:val="0"/>
          <w:numId w:val="1"/>
        </w:numPr>
        <w:ind w:right="3" w:hanging="286"/>
      </w:pPr>
      <w:r>
        <w:t xml:space="preserve">Per le finalità di cui sopra, il Comune di </w:t>
      </w:r>
      <w:r w:rsidR="00B8297A">
        <w:t>Maddaloni</w:t>
      </w:r>
      <w:r>
        <w:t xml:space="preserve">, ispirandosi a criteri di trasparenza ed efficacia, promuove iniziative ed assume attività che, nel rispetto della legislazione comunitaria e nazionale in materia di protezione delle indicazioni geografiche e delle denominazioni di origine dei prodotti agricoli ed alimentari, comportano l'affermazione sostanziale dei principi di cui ai precedenti commi e la loro attuazione.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9D446C" w:rsidRDefault="002F6CCD">
      <w:pPr>
        <w:numPr>
          <w:ilvl w:val="0"/>
          <w:numId w:val="1"/>
        </w:numPr>
        <w:ind w:right="3" w:hanging="286"/>
      </w:pPr>
      <w:r>
        <w:t xml:space="preserve">Con il presente regolamento, sono stabilite anche le modalità di attribuzione, promozione e tutela della “De.C.O.” (acronimo di “Denominazione Comunale di Origine”).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9D446C" w:rsidRDefault="002F6CCD">
      <w:pPr>
        <w:numPr>
          <w:ilvl w:val="0"/>
          <w:numId w:val="1"/>
        </w:numPr>
        <w:ind w:right="3" w:hanging="286"/>
      </w:pPr>
      <w:r>
        <w:t xml:space="preserve">In particolare, l'azione del Comune di </w:t>
      </w:r>
      <w:r w:rsidR="00B8297A">
        <w:t>Maddaloni</w:t>
      </w:r>
      <w:r>
        <w:t xml:space="preserve"> si manifesta in direzione: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D446C" w:rsidRDefault="002F6CCD">
      <w:pPr>
        <w:numPr>
          <w:ilvl w:val="0"/>
          <w:numId w:val="2"/>
        </w:numPr>
        <w:ind w:right="3" w:hanging="360"/>
      </w:pPr>
      <w:r>
        <w:t xml:space="preserve">dell'indagine conoscitiva diretta ad individuare l'esistenza di originali e caratteristiche produzioni agro-alimentari e loro tradizionali lavorazioni e confezioni che, a motivo della loro rilevanza, siano </w:t>
      </w:r>
      <w:r>
        <w:lastRenderedPageBreak/>
        <w:t xml:space="preserve">meritevoli di evidenza pubblica, e di promuoverne la protezione nelle forme previste dalla legge al fine di garantire il mantenimento delle loro qualità attraverso l’istituzione di un albo comunale delle produzioni agro-alimentari e di un registro De.C.O. (Denominazione Comunale di Origine); </w:t>
      </w:r>
    </w:p>
    <w:p w:rsidR="009D446C" w:rsidRDefault="002F6CCD">
      <w:pPr>
        <w:numPr>
          <w:ilvl w:val="0"/>
          <w:numId w:val="2"/>
        </w:numPr>
        <w:ind w:right="3" w:hanging="360"/>
      </w:pPr>
      <w:r>
        <w:t xml:space="preserve">dell'assunzione di iniziative di valorizzazione di prodotti agro-alimentari, che a causa del loro consistere culturale e tradizionale siano meritevoli di riconoscimento protettivo da parte degli organi ufficiali preposti; per le suddette attività il Comune di </w:t>
      </w:r>
      <w:r w:rsidR="00B8297A">
        <w:t>Maddaloni</w:t>
      </w:r>
      <w:r>
        <w:t xml:space="preserve"> si avvale della struttura organizzativa di cui all'art. 6 del presente regolamento; </w:t>
      </w:r>
    </w:p>
    <w:p w:rsidR="009D446C" w:rsidRDefault="002F6CCD">
      <w:pPr>
        <w:numPr>
          <w:ilvl w:val="0"/>
          <w:numId w:val="2"/>
        </w:numPr>
        <w:ind w:right="3" w:hanging="360"/>
      </w:pPr>
      <w:r>
        <w:t xml:space="preserve">d'intervenire, mediante forme dirette e/o di coordinamento, in attività di ricerca storica finalizzata alla individuazione di ogni fonte che, per il conseguimento delle finalità di cui al presente articolo sia meritevole di attenzione; </w:t>
      </w:r>
    </w:p>
    <w:p w:rsidR="009D446C" w:rsidRDefault="002F6CCD">
      <w:pPr>
        <w:numPr>
          <w:ilvl w:val="0"/>
          <w:numId w:val="2"/>
        </w:numPr>
        <w:ind w:right="3" w:hanging="360"/>
      </w:pPr>
      <w:r>
        <w:t xml:space="preserve">di promuovere o sostenere, nei limiti delle ricorrenti compatibilità di bilancio, iniziative esterne a favore delle associazioni che abbiano nei loro programmi istituzionali la salvaguardia dei beni culturali e tradizionali nell'ambito delle attività agro-alimentari e che non abbiano alcun fine di lucro; </w:t>
      </w:r>
    </w:p>
    <w:p w:rsidR="009D446C" w:rsidRDefault="002F6CCD">
      <w:pPr>
        <w:numPr>
          <w:ilvl w:val="0"/>
          <w:numId w:val="2"/>
        </w:numPr>
        <w:ind w:right="3" w:hanging="360"/>
      </w:pPr>
      <w:r>
        <w:t>di rilasciare un marchio De.</w:t>
      </w:r>
      <w:proofErr w:type="gramStart"/>
      <w:r>
        <w:t>C.O</w:t>
      </w:r>
      <w:proofErr w:type="gramEnd"/>
      <w:r>
        <w:t xml:space="preserve"> (Denominazione Comunale di Origine) al fine di attestare l’origine del prodotto, oltre alla sua composizione. </w:t>
      </w:r>
    </w:p>
    <w:p w:rsidR="009D446C" w:rsidRDefault="002F6CCD">
      <w:pPr>
        <w:pStyle w:val="Titolo1"/>
        <w:ind w:left="474"/>
      </w:pPr>
      <w:r>
        <w:t xml:space="preserve">Art. 2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9D446C" w:rsidRDefault="002F6CCD">
      <w:pPr>
        <w:spacing w:after="200" w:line="259" w:lineRule="auto"/>
        <w:ind w:left="115" w:right="310"/>
        <w:jc w:val="center"/>
      </w:pPr>
      <w:r>
        <w:rPr>
          <w:sz w:val="28"/>
        </w:rPr>
        <w:t xml:space="preserve">Istituzione di un albo comunale delle iniziative e manifestazioni </w:t>
      </w:r>
    </w:p>
    <w:p w:rsidR="009D446C" w:rsidRDefault="002F6CCD">
      <w:pPr>
        <w:numPr>
          <w:ilvl w:val="0"/>
          <w:numId w:val="3"/>
        </w:numPr>
        <w:ind w:right="3"/>
      </w:pPr>
      <w:r>
        <w:t xml:space="preserve">Viene istituito presso la competente struttura comunale di cui all'art. 6, un apposito albo in cui vengono iscritte le segnalazioni relative alle iniziative e manifestazioni riguardanti le attività e le produzioni agro-alimentari che, a motivo delle loro caratteristiche e dell’interesse culturale dalle stesse destato, sono meritevoli di particolare attenzione e rilevanza pubblica.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9D446C" w:rsidRDefault="002F6CCD">
      <w:pPr>
        <w:numPr>
          <w:ilvl w:val="0"/>
          <w:numId w:val="3"/>
        </w:numPr>
        <w:ind w:right="3"/>
      </w:pPr>
      <w:r>
        <w:t xml:space="preserve">È previsto che l’iscrizione sia concessa alle manifestazioni che abbiano avuto luogo nel territorio comunale per almeno tre anni consecutivi.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9D446C" w:rsidRDefault="002F6CCD">
      <w:pPr>
        <w:numPr>
          <w:ilvl w:val="0"/>
          <w:numId w:val="3"/>
        </w:numPr>
        <w:ind w:right="3"/>
      </w:pPr>
      <w:r>
        <w:t xml:space="preserve">Le iniziative, manifestazioni, attività e connesse produzioni iscritte nell'albo possono fregiarsi del marchio “Denominazione Comunale di Origine” per tutti i prodotti segnalati, attraverso l’utilizzo del logo “De.C.O.” </w:t>
      </w:r>
    </w:p>
    <w:p w:rsidR="009D446C" w:rsidRDefault="002F6CCD">
      <w:pPr>
        <w:spacing w:after="188" w:line="259" w:lineRule="auto"/>
        <w:ind w:left="0" w:right="0" w:firstLine="0"/>
        <w:jc w:val="left"/>
      </w:pPr>
      <w:r>
        <w:rPr>
          <w:sz w:val="15"/>
        </w:rPr>
        <w:t xml:space="preserve"> </w:t>
      </w:r>
    </w:p>
    <w:p w:rsidR="009D446C" w:rsidRDefault="002F6CCD">
      <w:pPr>
        <w:pStyle w:val="Titolo1"/>
        <w:ind w:left="474" w:right="214"/>
      </w:pPr>
      <w:r>
        <w:t xml:space="preserve">Art.3 </w:t>
      </w:r>
    </w:p>
    <w:p w:rsidR="009D446C" w:rsidRDefault="002F6CCD">
      <w:pPr>
        <w:spacing w:after="21" w:line="259" w:lineRule="auto"/>
        <w:ind w:left="0" w:right="0" w:firstLine="0"/>
        <w:jc w:val="left"/>
      </w:pPr>
      <w:r>
        <w:t xml:space="preserve"> </w:t>
      </w:r>
    </w:p>
    <w:p w:rsidR="009D446C" w:rsidRDefault="002F6CCD">
      <w:pPr>
        <w:spacing w:after="200" w:line="259" w:lineRule="auto"/>
        <w:ind w:left="115" w:right="1"/>
        <w:jc w:val="center"/>
      </w:pPr>
      <w:r>
        <w:rPr>
          <w:sz w:val="28"/>
        </w:rPr>
        <w:t xml:space="preserve">Istituzione del Registro De.C.O. </w:t>
      </w:r>
    </w:p>
    <w:p w:rsidR="009D446C" w:rsidRDefault="002F6CCD">
      <w:pPr>
        <w:numPr>
          <w:ilvl w:val="0"/>
          <w:numId w:val="4"/>
        </w:numPr>
        <w:ind w:left="462" w:right="3" w:hanging="350"/>
      </w:pPr>
      <w:r>
        <w:t xml:space="preserve">Viene istituito presso la competente struttura comunale, di cui all’art. 6, un apposito registro per tutti i prodotti tipici agro-alimentari a denominazione De.C.O.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9D446C" w:rsidRDefault="002F6CCD">
      <w:pPr>
        <w:numPr>
          <w:ilvl w:val="0"/>
          <w:numId w:val="4"/>
        </w:numPr>
        <w:ind w:left="462" w:right="3" w:hanging="350"/>
      </w:pPr>
      <w:r>
        <w:rPr>
          <w:color w:val="444444"/>
        </w:rPr>
        <w:t xml:space="preserve">Il </w:t>
      </w:r>
      <w:r>
        <w:t xml:space="preserve">registro verrà predisposto dal servizio </w:t>
      </w:r>
      <w:r w:rsidR="00B8297A">
        <w:t>SUAP all’interno dell’Area 2 “Servizi al Territorio”</w:t>
      </w:r>
      <w:r>
        <w:t xml:space="preserve">.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D446C" w:rsidRDefault="002F6CCD">
      <w:pPr>
        <w:numPr>
          <w:ilvl w:val="0"/>
          <w:numId w:val="4"/>
        </w:numPr>
        <w:spacing w:after="69"/>
        <w:ind w:left="462" w:right="3" w:hanging="350"/>
      </w:pPr>
      <w:r>
        <w:t xml:space="preserve">Nel registro sono annotati, in ordine cronologico di riconoscimento: </w:t>
      </w:r>
    </w:p>
    <w:p w:rsidR="009D446C" w:rsidRDefault="002F6CCD">
      <w:pPr>
        <w:numPr>
          <w:ilvl w:val="0"/>
          <w:numId w:val="5"/>
        </w:numPr>
        <w:spacing w:after="32"/>
        <w:ind w:right="3" w:hanging="360"/>
      </w:pPr>
      <w:r>
        <w:t xml:space="preserve">i prodotti a Denominazione comunale di origine (De.C.O.); </w:t>
      </w:r>
    </w:p>
    <w:p w:rsidR="009D446C" w:rsidRDefault="002F6CCD">
      <w:pPr>
        <w:numPr>
          <w:ilvl w:val="0"/>
          <w:numId w:val="5"/>
        </w:numPr>
        <w:spacing w:after="33"/>
        <w:ind w:right="3" w:hanging="360"/>
      </w:pPr>
      <w:r>
        <w:t xml:space="preserve">i soggetti che hanno ottenuto il diritto di utilizzare la De.C.O.; </w:t>
      </w:r>
    </w:p>
    <w:p w:rsidR="009D446C" w:rsidRDefault="002F6CCD">
      <w:pPr>
        <w:numPr>
          <w:ilvl w:val="0"/>
          <w:numId w:val="5"/>
        </w:numPr>
        <w:ind w:right="3" w:hanging="360"/>
      </w:pPr>
      <w:r>
        <w:t xml:space="preserve">gli estremi della deliberazione di Giunta comunale che ne dispone l’iscrizione e le eventuali successive modificazioni.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5"/>
        </w:rPr>
        <w:t xml:space="preserve"> </w:t>
      </w:r>
    </w:p>
    <w:p w:rsidR="009D446C" w:rsidRDefault="002F6CCD">
      <w:pPr>
        <w:spacing w:after="117"/>
        <w:ind w:left="122" w:right="3"/>
      </w:pPr>
      <w:r>
        <w:lastRenderedPageBreak/>
        <w:t xml:space="preserve">4. L’iscrizione può essere concessa per le seguenti tipologie di prodotti agroalimentari: </w:t>
      </w:r>
    </w:p>
    <w:p w:rsidR="009D446C" w:rsidRDefault="002F6CCD">
      <w:pPr>
        <w:numPr>
          <w:ilvl w:val="0"/>
          <w:numId w:val="6"/>
        </w:numPr>
        <w:spacing w:after="30"/>
        <w:ind w:right="3" w:hanging="360"/>
      </w:pPr>
      <w:r>
        <w:t xml:space="preserve">carni fresche di animali allevati nel territorio e loro preparazioni, </w:t>
      </w:r>
    </w:p>
    <w:p w:rsidR="009D446C" w:rsidRDefault="002F6CCD">
      <w:pPr>
        <w:numPr>
          <w:ilvl w:val="0"/>
          <w:numId w:val="6"/>
        </w:numPr>
        <w:spacing w:after="36"/>
        <w:ind w:right="3" w:hanging="360"/>
      </w:pPr>
      <w:r>
        <w:t xml:space="preserve">salse e condimenti; </w:t>
      </w:r>
    </w:p>
    <w:p w:rsidR="009D446C" w:rsidRDefault="002F6CCD">
      <w:pPr>
        <w:numPr>
          <w:ilvl w:val="0"/>
          <w:numId w:val="6"/>
        </w:numPr>
        <w:spacing w:after="32"/>
        <w:ind w:right="3" w:hanging="360"/>
      </w:pPr>
      <w:r>
        <w:t xml:space="preserve">formaggi e altri prodotti derivati dal latte; </w:t>
      </w:r>
    </w:p>
    <w:p w:rsidR="009D446C" w:rsidRDefault="002F6CCD">
      <w:pPr>
        <w:numPr>
          <w:ilvl w:val="0"/>
          <w:numId w:val="6"/>
        </w:numPr>
        <w:spacing w:after="35"/>
        <w:ind w:right="3" w:hanging="360"/>
      </w:pPr>
      <w:r>
        <w:t xml:space="preserve">prodotti vegetali allo stato naturale o trasformati; </w:t>
      </w:r>
    </w:p>
    <w:p w:rsidR="009D446C" w:rsidRDefault="002F6CCD">
      <w:pPr>
        <w:numPr>
          <w:ilvl w:val="0"/>
          <w:numId w:val="6"/>
        </w:numPr>
        <w:spacing w:after="124"/>
        <w:ind w:right="3" w:hanging="360"/>
      </w:pPr>
      <w:r>
        <w:t xml:space="preserve">paste fresche, prodotti della panetteria, della gastronomia, della biscotteria, della pasticceria, della confetteria e della gelateria; </w:t>
      </w:r>
    </w:p>
    <w:p w:rsidR="009D446C" w:rsidRDefault="002F6CCD">
      <w:pPr>
        <w:numPr>
          <w:ilvl w:val="0"/>
          <w:numId w:val="6"/>
        </w:numPr>
        <w:spacing w:after="29"/>
        <w:ind w:right="3" w:hanging="360"/>
      </w:pPr>
      <w:r>
        <w:t xml:space="preserve">dolci e paste; </w:t>
      </w:r>
    </w:p>
    <w:p w:rsidR="009D446C" w:rsidRDefault="002F6CCD">
      <w:pPr>
        <w:numPr>
          <w:ilvl w:val="0"/>
          <w:numId w:val="6"/>
        </w:numPr>
        <w:spacing w:after="32"/>
        <w:ind w:right="3" w:hanging="360"/>
      </w:pPr>
      <w:r>
        <w:t xml:space="preserve">piatti o prodotti tradizionali della cucina </w:t>
      </w:r>
      <w:r w:rsidR="00AD7D6E">
        <w:t>maddalonese</w:t>
      </w:r>
      <w:r>
        <w:t xml:space="preserve">; </w:t>
      </w:r>
    </w:p>
    <w:p w:rsidR="009D446C" w:rsidRDefault="002F6CCD">
      <w:pPr>
        <w:numPr>
          <w:ilvl w:val="0"/>
          <w:numId w:val="6"/>
        </w:numPr>
        <w:spacing w:after="25"/>
        <w:ind w:right="3" w:hanging="360"/>
      </w:pPr>
      <w:r>
        <w:t xml:space="preserve">bevande analcoliche, alcoliche, distillati, liquori e cocktail; </w:t>
      </w:r>
    </w:p>
    <w:p w:rsidR="009D446C" w:rsidRDefault="002F6CCD">
      <w:pPr>
        <w:numPr>
          <w:ilvl w:val="0"/>
          <w:numId w:val="6"/>
        </w:numPr>
        <w:spacing w:after="30"/>
        <w:ind w:right="3" w:hanging="360"/>
      </w:pPr>
      <w:r>
        <w:t xml:space="preserve">miele; </w:t>
      </w:r>
    </w:p>
    <w:p w:rsidR="009D446C" w:rsidRDefault="002F6CCD">
      <w:pPr>
        <w:numPr>
          <w:ilvl w:val="0"/>
          <w:numId w:val="6"/>
        </w:numPr>
        <w:ind w:right="3" w:hanging="360"/>
      </w:pPr>
      <w:r>
        <w:t xml:space="preserve">origano e altre piante aromatiche/officinali; </w:t>
      </w:r>
    </w:p>
    <w:p w:rsidR="00B8297A" w:rsidRDefault="002F6CCD">
      <w:pPr>
        <w:numPr>
          <w:ilvl w:val="0"/>
          <w:numId w:val="6"/>
        </w:numPr>
        <w:spacing w:after="0" w:line="273" w:lineRule="auto"/>
        <w:ind w:right="3" w:hanging="360"/>
      </w:pPr>
      <w:r>
        <w:t>funghi freschi e secchi;</w:t>
      </w:r>
    </w:p>
    <w:p w:rsidR="00B8297A" w:rsidRDefault="002F6CCD">
      <w:pPr>
        <w:numPr>
          <w:ilvl w:val="0"/>
          <w:numId w:val="6"/>
        </w:numPr>
        <w:spacing w:after="0" w:line="273" w:lineRule="auto"/>
        <w:ind w:right="3" w:hanging="360"/>
      </w:pPr>
      <w:r>
        <w:rPr>
          <w:sz w:val="28"/>
        </w:rPr>
        <w:t xml:space="preserve"> </w:t>
      </w:r>
      <w:r>
        <w:t xml:space="preserve">frutta e verdura, ortaggi; </w:t>
      </w:r>
    </w:p>
    <w:p w:rsidR="009D446C" w:rsidRDefault="002F6CCD">
      <w:pPr>
        <w:numPr>
          <w:ilvl w:val="0"/>
          <w:numId w:val="6"/>
        </w:numPr>
        <w:spacing w:after="0" w:line="273" w:lineRule="auto"/>
        <w:ind w:right="3" w:hanging="360"/>
      </w:pPr>
      <w:r>
        <w:rPr>
          <w:sz w:val="28"/>
        </w:rPr>
        <w:t xml:space="preserve"> </w:t>
      </w:r>
      <w:r>
        <w:t xml:space="preserve">conserve. </w:t>
      </w:r>
    </w:p>
    <w:p w:rsidR="009D446C" w:rsidRDefault="002F6CCD">
      <w:pPr>
        <w:pStyle w:val="Titolo1"/>
        <w:ind w:left="474" w:right="363"/>
      </w:pPr>
      <w:r>
        <w:t xml:space="preserve">Art.4 </w:t>
      </w:r>
    </w:p>
    <w:p w:rsidR="009D446C" w:rsidRDefault="002F6CCD">
      <w:pPr>
        <w:spacing w:after="9" w:line="259" w:lineRule="auto"/>
        <w:ind w:left="0" w:right="0" w:firstLine="0"/>
        <w:jc w:val="left"/>
      </w:pPr>
      <w:r>
        <w:rPr>
          <w:sz w:val="25"/>
        </w:rPr>
        <w:t xml:space="preserve"> </w:t>
      </w:r>
    </w:p>
    <w:p w:rsidR="009D446C" w:rsidRDefault="002F6CCD">
      <w:pPr>
        <w:spacing w:after="200" w:line="259" w:lineRule="auto"/>
        <w:ind w:left="115" w:right="12"/>
        <w:jc w:val="center"/>
      </w:pPr>
      <w:r>
        <w:rPr>
          <w:sz w:val="28"/>
        </w:rPr>
        <w:t xml:space="preserve">Richieste ai fini dell’iscrizione nel Registro </w:t>
      </w:r>
    </w:p>
    <w:p w:rsidR="009D446C" w:rsidRDefault="002F6CCD">
      <w:pPr>
        <w:numPr>
          <w:ilvl w:val="0"/>
          <w:numId w:val="7"/>
        </w:numPr>
        <w:spacing w:after="58"/>
        <w:ind w:right="3" w:hanging="348"/>
      </w:pPr>
      <w:r>
        <w:t xml:space="preserve">Le richieste, ai fini della iscrizione nel registro della De.C.O. (Denominazione Comunale di Origine) possono essere presentate da chiunque ritenga di promuoverle.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7"/>
        </w:rPr>
        <w:t xml:space="preserve"> </w:t>
      </w:r>
    </w:p>
    <w:p w:rsidR="00AD7D6E" w:rsidRDefault="002F6CCD">
      <w:pPr>
        <w:numPr>
          <w:ilvl w:val="0"/>
          <w:numId w:val="7"/>
        </w:numPr>
        <w:spacing w:after="27"/>
        <w:ind w:right="3" w:hanging="348"/>
      </w:pPr>
      <w:r>
        <w:t xml:space="preserve">Le istanze per l’attribuzione della De.C.O., redatte attraverso un apposito modello predisposto dall’Ente, devono essere dirette ad evidenziare le peculiari caratteristiche del prodotto, con particolare riferimento a quelle analitiche e di processo produttivo ed ogni informazione ritenuta utile ai fini dell’iscrizione nel registro De.C.O. In particolare, dovranno essere indicati: </w:t>
      </w:r>
    </w:p>
    <w:p w:rsidR="00AD7D6E" w:rsidRDefault="00AD7D6E" w:rsidP="00AD7D6E">
      <w:pPr>
        <w:pStyle w:val="Paragrafoelenco"/>
      </w:pPr>
    </w:p>
    <w:p w:rsidR="009D446C" w:rsidRDefault="002F6CCD">
      <w:pPr>
        <w:numPr>
          <w:ilvl w:val="0"/>
          <w:numId w:val="7"/>
        </w:numPr>
        <w:spacing w:after="27"/>
        <w:ind w:right="3" w:hanging="348"/>
      </w:pPr>
      <w:r>
        <w:t xml:space="preserve">a) il nome del prodotto; </w:t>
      </w:r>
    </w:p>
    <w:p w:rsidR="009D446C" w:rsidRDefault="002F6CCD">
      <w:pPr>
        <w:spacing w:after="13" w:line="259" w:lineRule="auto"/>
        <w:ind w:left="0" w:right="0" w:firstLine="0"/>
        <w:jc w:val="left"/>
      </w:pPr>
      <w:r>
        <w:rPr>
          <w:sz w:val="21"/>
        </w:rPr>
        <w:t xml:space="preserve"> </w:t>
      </w:r>
    </w:p>
    <w:p w:rsidR="009D446C" w:rsidRDefault="002F6CCD">
      <w:pPr>
        <w:numPr>
          <w:ilvl w:val="0"/>
          <w:numId w:val="8"/>
        </w:numPr>
        <w:ind w:left="825" w:right="3" w:hanging="278"/>
      </w:pPr>
      <w:r>
        <w:t xml:space="preserve">l’area geografica di produzione (che dovrà comprendere in tutto o in parte il territorio del Comune di </w:t>
      </w:r>
      <w:r w:rsidR="00B8297A">
        <w:t>Maddaloni</w:t>
      </w:r>
      <w:r>
        <w:t xml:space="preserve">);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9D446C" w:rsidRDefault="002F6CCD">
      <w:pPr>
        <w:numPr>
          <w:ilvl w:val="0"/>
          <w:numId w:val="8"/>
        </w:numPr>
        <w:ind w:left="825" w:right="3" w:hanging="278"/>
      </w:pPr>
      <w:r>
        <w:t xml:space="preserve">le caratteristiche del prodotto e le metodiche di lavorazione e conservazione consolidate nel tempo in base agli usi locali;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9D446C" w:rsidRDefault="002F6CCD">
      <w:pPr>
        <w:numPr>
          <w:ilvl w:val="0"/>
          <w:numId w:val="8"/>
        </w:numPr>
        <w:ind w:left="825" w:right="3" w:hanging="278"/>
      </w:pPr>
      <w:r>
        <w:t xml:space="preserve">i materiali e le attrezzature specifiche utilizzate per la preparazione, il condizionamento e l’imballaggio dei prodotti;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9D446C" w:rsidRDefault="002F6CCD">
      <w:pPr>
        <w:numPr>
          <w:ilvl w:val="0"/>
          <w:numId w:val="8"/>
        </w:numPr>
        <w:ind w:left="825" w:right="3" w:hanging="278"/>
      </w:pPr>
      <w:r>
        <w:t xml:space="preserve">la descrizione dei locali di lavorazione.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9D446C" w:rsidRDefault="002F6CCD">
      <w:pPr>
        <w:numPr>
          <w:ilvl w:val="0"/>
          <w:numId w:val="9"/>
        </w:numPr>
        <w:spacing w:after="47"/>
        <w:ind w:right="3" w:hanging="348"/>
      </w:pPr>
      <w:r>
        <w:t xml:space="preserve">L’esame delle richieste di iscrizione nel registro De.c.o. è affidato ad un’apposita Commissione. La commissione è composta da n. 5 membri di diritto e n. 2 membri di nomina sindacale, e precisamente: </w:t>
      </w:r>
    </w:p>
    <w:p w:rsidR="009D446C" w:rsidRDefault="002F6CCD">
      <w:pPr>
        <w:numPr>
          <w:ilvl w:val="1"/>
          <w:numId w:val="9"/>
        </w:numPr>
        <w:spacing w:after="46"/>
        <w:ind w:right="3" w:hanging="338"/>
      </w:pPr>
      <w:r>
        <w:t xml:space="preserve">Presidente: Sindaco o suo delegato (membro di diritto); </w:t>
      </w:r>
    </w:p>
    <w:p w:rsidR="009D446C" w:rsidRDefault="002F6CCD">
      <w:pPr>
        <w:numPr>
          <w:ilvl w:val="1"/>
          <w:numId w:val="9"/>
        </w:numPr>
        <w:spacing w:after="55"/>
        <w:ind w:right="3" w:hanging="338"/>
      </w:pPr>
      <w:r>
        <w:lastRenderedPageBreak/>
        <w:t>Componente dell’Amministrazione delegato all</w:t>
      </w:r>
      <w:r w:rsidR="00AD7D6E">
        <w:t>e Attività Produttive</w:t>
      </w:r>
      <w:r>
        <w:t xml:space="preserve"> (membro di diritto); </w:t>
      </w:r>
    </w:p>
    <w:p w:rsidR="009D446C" w:rsidRDefault="002F6CCD">
      <w:pPr>
        <w:numPr>
          <w:ilvl w:val="1"/>
          <w:numId w:val="9"/>
        </w:numPr>
        <w:spacing w:after="53"/>
        <w:ind w:right="3" w:hanging="338"/>
      </w:pPr>
      <w:r>
        <w:t xml:space="preserve">Presidente del Consiglio Comunale (membro di diritto); </w:t>
      </w:r>
    </w:p>
    <w:p w:rsidR="009D446C" w:rsidRDefault="002F6CCD">
      <w:pPr>
        <w:numPr>
          <w:ilvl w:val="1"/>
          <w:numId w:val="9"/>
        </w:numPr>
        <w:spacing w:after="50"/>
        <w:ind w:right="3" w:hanging="338"/>
      </w:pPr>
      <w:r>
        <w:t>n. 2 consiglieri comunali indicati dalla</w:t>
      </w:r>
      <w:r w:rsidR="00AD7D6E">
        <w:t xml:space="preserve"> opposizione </w:t>
      </w:r>
      <w:r>
        <w:t xml:space="preserve">(membri di diritto); </w:t>
      </w:r>
    </w:p>
    <w:p w:rsidR="009D446C" w:rsidRDefault="002F6CCD">
      <w:pPr>
        <w:numPr>
          <w:ilvl w:val="1"/>
          <w:numId w:val="9"/>
        </w:numPr>
        <w:spacing w:after="231"/>
        <w:ind w:right="3" w:hanging="338"/>
      </w:pPr>
      <w:r>
        <w:t xml:space="preserve">n. 2 esponenti del settore agro-alimentare e/o enogastronomico locale nominati, per ciascuna richiesta di iscrizione, con decreto sindacale. </w:t>
      </w:r>
    </w:p>
    <w:p w:rsidR="009D446C" w:rsidRDefault="002F6CCD">
      <w:pPr>
        <w:ind w:left="122" w:right="3"/>
      </w:pPr>
      <w:r>
        <w:t xml:space="preserve">Per quanto non disciplinato diversamente dal presente regolamento, si applicano alla presente Commissione le norme del vigente Regolamento comunale per il funzionamento delle Commissioni Consiliari permanenti. </w:t>
      </w:r>
    </w:p>
    <w:p w:rsidR="009D446C" w:rsidRDefault="002F6CCD">
      <w:pPr>
        <w:ind w:left="122" w:right="3"/>
      </w:pPr>
      <w:r>
        <w:t xml:space="preserve">Le funzioni di segretario della commissione sono svolte da un componente della Commissione stessa designato dal Presidente. </w:t>
      </w:r>
    </w:p>
    <w:p w:rsidR="009D446C" w:rsidRDefault="002F6CCD">
      <w:pPr>
        <w:ind w:left="122" w:right="3"/>
      </w:pPr>
      <w:r>
        <w:t xml:space="preserve">Non è previsto alcun compenso per i componenti, neppure a titolo di rimborso spese.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9D446C" w:rsidRDefault="002F6CCD">
      <w:pPr>
        <w:numPr>
          <w:ilvl w:val="0"/>
          <w:numId w:val="9"/>
        </w:numPr>
        <w:spacing w:after="35"/>
        <w:ind w:right="3" w:hanging="348"/>
      </w:pPr>
      <w:r>
        <w:t xml:space="preserve">La Giunta comunale prende atto delle risultanze della Commissione con propria deliberazione che dispone l’iscrizione del prodotto nel Registro De.C.O. </w:t>
      </w:r>
    </w:p>
    <w:p w:rsidR="009D446C" w:rsidRDefault="002F6CCD">
      <w:pPr>
        <w:numPr>
          <w:ilvl w:val="0"/>
          <w:numId w:val="9"/>
        </w:numPr>
        <w:ind w:right="3" w:hanging="348"/>
      </w:pPr>
      <w:r>
        <w:t xml:space="preserve">E’ fatto espresso divieto di utilizzare impropriamente il marchio De.C.O. </w:t>
      </w:r>
    </w:p>
    <w:p w:rsidR="009D446C" w:rsidRDefault="002F6CCD">
      <w:pPr>
        <w:spacing w:after="207" w:line="259" w:lineRule="auto"/>
        <w:ind w:left="0" w:right="0" w:firstLine="0"/>
        <w:jc w:val="left"/>
      </w:pPr>
      <w:r>
        <w:rPr>
          <w:sz w:val="13"/>
        </w:rPr>
        <w:t xml:space="preserve"> </w:t>
      </w:r>
    </w:p>
    <w:p w:rsidR="009D446C" w:rsidRDefault="002F6CCD">
      <w:pPr>
        <w:pStyle w:val="Titolo1"/>
        <w:ind w:left="474" w:right="363"/>
      </w:pPr>
      <w:r>
        <w:t xml:space="preserve">Art.5 </w:t>
      </w:r>
    </w:p>
    <w:p w:rsidR="009D446C" w:rsidRDefault="002F6CCD">
      <w:pPr>
        <w:spacing w:after="12" w:line="259" w:lineRule="auto"/>
        <w:ind w:left="0" w:right="0" w:firstLine="0"/>
        <w:jc w:val="left"/>
      </w:pPr>
      <w:r>
        <w:rPr>
          <w:sz w:val="25"/>
        </w:rPr>
        <w:t xml:space="preserve"> </w:t>
      </w:r>
    </w:p>
    <w:p w:rsidR="009D446C" w:rsidRDefault="002F6CCD">
      <w:pPr>
        <w:spacing w:after="200" w:line="259" w:lineRule="auto"/>
        <w:ind w:left="115" w:right="4"/>
        <w:jc w:val="center"/>
      </w:pPr>
      <w:r>
        <w:rPr>
          <w:sz w:val="28"/>
        </w:rPr>
        <w:t xml:space="preserve">Logo De.C.O. </w:t>
      </w:r>
    </w:p>
    <w:p w:rsidR="009D446C" w:rsidRDefault="002F6CCD">
      <w:pPr>
        <w:spacing w:after="41" w:line="358" w:lineRule="auto"/>
        <w:ind w:left="472" w:right="180" w:hanging="360"/>
      </w:pPr>
      <w:r>
        <w:t xml:space="preserve">1.    Per contraddistinguere e riconoscere chiaramente i prodotti iscritti nel registro di cui all’art. 3) e le iniziative di cui all’art. 2), viene adottato l’apposito logo identificativo di cui all’allegato A) al presente Regolamento.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9D446C" w:rsidRDefault="002F6CCD">
      <w:pPr>
        <w:pStyle w:val="Titolo1"/>
        <w:ind w:left="474" w:right="363"/>
      </w:pPr>
      <w:r>
        <w:t xml:space="preserve">Art.6 </w:t>
      </w:r>
    </w:p>
    <w:p w:rsidR="009D446C" w:rsidRDefault="002F6CCD">
      <w:pPr>
        <w:spacing w:after="12" w:line="259" w:lineRule="auto"/>
        <w:ind w:left="0" w:right="0" w:firstLine="0"/>
        <w:jc w:val="left"/>
      </w:pPr>
      <w:r>
        <w:rPr>
          <w:sz w:val="25"/>
        </w:rPr>
        <w:t xml:space="preserve"> </w:t>
      </w:r>
    </w:p>
    <w:p w:rsidR="009D446C" w:rsidRDefault="002F6CCD">
      <w:pPr>
        <w:spacing w:after="267" w:line="259" w:lineRule="auto"/>
        <w:ind w:left="115" w:right="2"/>
        <w:jc w:val="center"/>
      </w:pPr>
      <w:r>
        <w:rPr>
          <w:sz w:val="28"/>
        </w:rPr>
        <w:t xml:space="preserve">La struttura organizzativa </w:t>
      </w:r>
    </w:p>
    <w:p w:rsidR="009D446C" w:rsidRDefault="002F6CCD">
      <w:pPr>
        <w:numPr>
          <w:ilvl w:val="0"/>
          <w:numId w:val="10"/>
        </w:numPr>
        <w:ind w:right="3"/>
      </w:pPr>
      <w:r>
        <w:t xml:space="preserve">La struttura organizzativa a cui viene attribuita la competenza in ragione degli adempimenti previsti dal presente regolamento è definita nell’ambito dell’organizzazione dei servizi vigenti. </w:t>
      </w:r>
    </w:p>
    <w:p w:rsidR="009D446C" w:rsidRDefault="002F6CCD">
      <w:pPr>
        <w:spacing w:after="58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9D446C" w:rsidRDefault="002F6CCD">
      <w:pPr>
        <w:numPr>
          <w:ilvl w:val="0"/>
          <w:numId w:val="10"/>
        </w:numPr>
        <w:ind w:right="3"/>
      </w:pPr>
      <w:r>
        <w:t xml:space="preserve">Il dipendente responsabile della struttura di cui al comma precedente è anche responsabile di tutti i procedimenti previsti dal presente regolamento.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9D446C" w:rsidRDefault="002F6CCD">
      <w:pPr>
        <w:spacing w:after="223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9D446C" w:rsidRDefault="002F6CCD">
      <w:pPr>
        <w:pStyle w:val="Titolo1"/>
        <w:ind w:left="474" w:right="360"/>
      </w:pPr>
      <w:r>
        <w:t xml:space="preserve">Art. 7 </w:t>
      </w:r>
    </w:p>
    <w:p w:rsidR="009D446C" w:rsidRDefault="002F6CCD">
      <w:pPr>
        <w:spacing w:after="9" w:line="259" w:lineRule="auto"/>
        <w:ind w:left="0" w:right="0" w:firstLine="0"/>
        <w:jc w:val="left"/>
      </w:pPr>
      <w:r>
        <w:rPr>
          <w:sz w:val="25"/>
        </w:rPr>
        <w:t xml:space="preserve"> </w:t>
      </w:r>
    </w:p>
    <w:p w:rsidR="009D446C" w:rsidRDefault="002F6CCD">
      <w:pPr>
        <w:spacing w:after="264" w:line="259" w:lineRule="auto"/>
        <w:ind w:left="115" w:right="0"/>
        <w:jc w:val="center"/>
      </w:pPr>
      <w:r>
        <w:rPr>
          <w:sz w:val="28"/>
        </w:rPr>
        <w:t xml:space="preserve">Le iniziative comunali </w:t>
      </w:r>
    </w:p>
    <w:p w:rsidR="009D446C" w:rsidRDefault="002F6CCD">
      <w:pPr>
        <w:numPr>
          <w:ilvl w:val="0"/>
          <w:numId w:val="11"/>
        </w:numPr>
        <w:ind w:right="3"/>
      </w:pPr>
      <w:r>
        <w:t xml:space="preserve">Il Comune di </w:t>
      </w:r>
      <w:r w:rsidR="00B8297A">
        <w:t>Maddaloni</w:t>
      </w:r>
      <w:r>
        <w:t xml:space="preserve"> assicura mediante gli strumenti di cui ha la disponibilità la massima divulgazione delle disposizioni previste dal presente regolamento. </w:t>
      </w:r>
    </w:p>
    <w:p w:rsidR="009D446C" w:rsidRDefault="002F6CCD">
      <w:pPr>
        <w:spacing w:after="58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9D446C" w:rsidRDefault="002F6CCD">
      <w:pPr>
        <w:numPr>
          <w:ilvl w:val="0"/>
          <w:numId w:val="11"/>
        </w:numPr>
        <w:ind w:right="3"/>
      </w:pPr>
      <w:r>
        <w:lastRenderedPageBreak/>
        <w:t xml:space="preserve">Il Comune individua, nel quadro dei propri canali istituzionali, forme di comunicazione pubblica a cui affidare ogni utile informazione riferita alla materia trattata dal regolamento. </w:t>
      </w:r>
    </w:p>
    <w:p w:rsidR="009D446C" w:rsidRDefault="002F6CCD">
      <w:pPr>
        <w:spacing w:after="58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9D446C" w:rsidRDefault="002F6CCD">
      <w:pPr>
        <w:numPr>
          <w:ilvl w:val="0"/>
          <w:numId w:val="11"/>
        </w:numPr>
        <w:ind w:right="3"/>
      </w:pPr>
      <w:r>
        <w:t xml:space="preserve">Il Comune, altresì, ricerca, forme di collaborazione con enti e associazioni particolarmente interessati alla cultura delle attività agro-alimentari attraverso tutte le forme associative previste dalla vigente legge sull’ordinamento degli enti locali.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9D446C" w:rsidRDefault="002F6CCD">
      <w:pPr>
        <w:spacing w:after="218" w:line="259" w:lineRule="auto"/>
        <w:ind w:left="0" w:right="0" w:firstLine="0"/>
        <w:jc w:val="left"/>
      </w:pPr>
      <w:r>
        <w:rPr>
          <w:sz w:val="26"/>
        </w:rPr>
        <w:t xml:space="preserve"> </w:t>
      </w:r>
    </w:p>
    <w:p w:rsidR="009D446C" w:rsidRDefault="002F6CCD">
      <w:pPr>
        <w:pStyle w:val="Titolo1"/>
        <w:ind w:left="474" w:right="360"/>
      </w:pPr>
      <w:r>
        <w:t xml:space="preserve">Art. 8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9D446C" w:rsidRDefault="002F6CCD">
      <w:pPr>
        <w:spacing w:after="0" w:line="259" w:lineRule="auto"/>
        <w:ind w:left="115" w:right="4"/>
        <w:jc w:val="center"/>
      </w:pPr>
      <w:r>
        <w:rPr>
          <w:sz w:val="28"/>
        </w:rPr>
        <w:t xml:space="preserve">Le tutele e le garanzie </w:t>
      </w:r>
    </w:p>
    <w:p w:rsidR="009D446C" w:rsidRDefault="002F6CCD">
      <w:pPr>
        <w:spacing w:after="157" w:line="259" w:lineRule="auto"/>
        <w:ind w:left="0" w:right="0" w:firstLine="0"/>
        <w:jc w:val="left"/>
      </w:pPr>
      <w:r>
        <w:rPr>
          <w:sz w:val="30"/>
        </w:rPr>
        <w:t xml:space="preserve"> </w:t>
      </w:r>
    </w:p>
    <w:p w:rsidR="009D446C" w:rsidRDefault="002F6CCD">
      <w:pPr>
        <w:ind w:left="122" w:right="3"/>
      </w:pPr>
      <w:r>
        <w:t xml:space="preserve">1. Il Comune di </w:t>
      </w:r>
      <w:r w:rsidR="00B8297A">
        <w:t>Maddaloni</w:t>
      </w:r>
      <w:r>
        <w:t xml:space="preserve">, nei modi e nelle forme consentiti dalla legge, valorizza i diritti e gli interessi pubblici derivanti dalla presenza di espressioni popolari riguardanti le attività agro-alimentari, in quanto rappresentanti di un rilevante patrimonio culturale pubblico, strettamente connesso agli interessi che il Comune è tenuto a tutelare e a garantire ai sensi degli artt. 3 e 13 del T.U. delle leggi sull’ordinamento degli enti locali di cui al Dlgs 18 agosto 2000 n. 267. </w:t>
      </w:r>
    </w:p>
    <w:p w:rsidR="009D446C" w:rsidRDefault="002F6CCD">
      <w:pPr>
        <w:spacing w:after="21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9D446C" w:rsidRDefault="002F6CCD">
      <w:pPr>
        <w:pStyle w:val="Titolo1"/>
        <w:ind w:left="474" w:right="360"/>
      </w:pPr>
      <w:r>
        <w:t xml:space="preserve">Art. 9 </w:t>
      </w:r>
    </w:p>
    <w:p w:rsidR="009D446C" w:rsidRDefault="002F6CCD">
      <w:pPr>
        <w:spacing w:after="9" w:line="259" w:lineRule="auto"/>
        <w:ind w:left="0" w:right="0" w:firstLine="0"/>
        <w:jc w:val="left"/>
      </w:pPr>
      <w:r>
        <w:rPr>
          <w:sz w:val="25"/>
        </w:rPr>
        <w:t xml:space="preserve"> </w:t>
      </w:r>
    </w:p>
    <w:p w:rsidR="009D446C" w:rsidRDefault="002F6CCD">
      <w:pPr>
        <w:spacing w:after="200" w:line="259" w:lineRule="auto"/>
        <w:ind w:left="115" w:right="4"/>
        <w:jc w:val="center"/>
      </w:pPr>
      <w:r>
        <w:rPr>
          <w:sz w:val="28"/>
        </w:rPr>
        <w:t xml:space="preserve">Attività di coordinamento </w:t>
      </w:r>
    </w:p>
    <w:p w:rsidR="009D446C" w:rsidRDefault="002F6CCD">
      <w:pPr>
        <w:ind w:left="112" w:right="3" w:firstLine="50"/>
      </w:pPr>
      <w:r>
        <w:t xml:space="preserve">1. Il Comune di </w:t>
      </w:r>
      <w:r w:rsidR="00B8297A">
        <w:t>Maddaloni</w:t>
      </w:r>
      <w:r>
        <w:t xml:space="preserve">, nell'ambito delle iniziative previste dal presente regolamento, attua mediante i propri organi di governo, forme di coordinamento rispetto a tutte le organizzazioni culturali che hanno tra i propri fini la cultura delle attività agro-alimentari, riferita alle corrispondenti espressioni locali. </w:t>
      </w:r>
    </w:p>
    <w:p w:rsidR="009D446C" w:rsidRDefault="002F6CCD">
      <w:pPr>
        <w:spacing w:after="185" w:line="259" w:lineRule="auto"/>
        <w:ind w:left="0" w:right="0" w:firstLine="0"/>
        <w:jc w:val="left"/>
      </w:pPr>
      <w:r>
        <w:rPr>
          <w:sz w:val="15"/>
        </w:rPr>
        <w:t xml:space="preserve"> </w:t>
      </w:r>
    </w:p>
    <w:p w:rsidR="009D446C" w:rsidRDefault="002F6CCD">
      <w:pPr>
        <w:pStyle w:val="Titolo1"/>
        <w:ind w:left="474" w:right="359"/>
      </w:pPr>
      <w:r>
        <w:t xml:space="preserve">Art. 10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9D446C" w:rsidRDefault="002F6CCD">
      <w:pPr>
        <w:spacing w:after="0" w:line="259" w:lineRule="auto"/>
        <w:ind w:left="115" w:right="2"/>
        <w:jc w:val="center"/>
      </w:pPr>
      <w:r>
        <w:rPr>
          <w:sz w:val="28"/>
        </w:rPr>
        <w:t xml:space="preserve">Rinvio alle normative statali e regionali </w:t>
      </w:r>
    </w:p>
    <w:p w:rsidR="009D446C" w:rsidRDefault="002F6CCD">
      <w:pPr>
        <w:spacing w:after="160" w:line="259" w:lineRule="auto"/>
        <w:ind w:left="0" w:right="0" w:firstLine="0"/>
        <w:jc w:val="left"/>
      </w:pPr>
      <w:r>
        <w:rPr>
          <w:sz w:val="30"/>
        </w:rPr>
        <w:t xml:space="preserve"> </w:t>
      </w:r>
    </w:p>
    <w:p w:rsidR="009D446C" w:rsidRDefault="002F6CCD">
      <w:pPr>
        <w:ind w:left="122" w:right="3"/>
      </w:pPr>
      <w:r>
        <w:t xml:space="preserve">1. Le normative di cui al presente regolamento si ispirano ai principi di cui alle normative statali e regionali vigenti, </w:t>
      </w:r>
      <w:r w:rsidR="00E6629B">
        <w:t xml:space="preserve">che </w:t>
      </w:r>
      <w:r>
        <w:t xml:space="preserve">conseguentemente costituiscono un limite, rispetto alle discipline dalle stesse previste, all'applicazione del regolamento in tutte le eventualità di ordine attuativo. </w:t>
      </w:r>
    </w:p>
    <w:p w:rsidR="009D446C" w:rsidRDefault="002F6CCD">
      <w:pPr>
        <w:spacing w:after="21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9D446C" w:rsidRDefault="002F6CCD">
      <w:pPr>
        <w:pStyle w:val="Titolo1"/>
        <w:ind w:left="474" w:right="364"/>
      </w:pPr>
      <w:r>
        <w:t xml:space="preserve">Art. 11 </w:t>
      </w:r>
    </w:p>
    <w:p w:rsidR="009D446C" w:rsidRDefault="002F6CCD">
      <w:pPr>
        <w:spacing w:after="12" w:line="259" w:lineRule="auto"/>
        <w:ind w:left="0" w:right="0" w:firstLine="0"/>
        <w:jc w:val="left"/>
      </w:pPr>
      <w:r>
        <w:rPr>
          <w:sz w:val="25"/>
        </w:rPr>
        <w:t xml:space="preserve"> </w:t>
      </w:r>
    </w:p>
    <w:p w:rsidR="009D446C" w:rsidRDefault="002F6CCD">
      <w:pPr>
        <w:spacing w:after="264" w:line="259" w:lineRule="auto"/>
        <w:ind w:left="115" w:right="2"/>
        <w:jc w:val="center"/>
      </w:pPr>
      <w:r>
        <w:rPr>
          <w:sz w:val="28"/>
        </w:rPr>
        <w:t xml:space="preserve">Norme finali </w:t>
      </w:r>
    </w:p>
    <w:p w:rsidR="009D446C" w:rsidRDefault="00B8297A" w:rsidP="00B8297A">
      <w:pPr>
        <w:spacing w:after="69"/>
        <w:ind w:left="122" w:right="3" w:firstLine="0"/>
      </w:pPr>
      <w:r>
        <w:t>1</w:t>
      </w:r>
      <w:r w:rsidR="002F6CCD">
        <w:t xml:space="preserve">, </w:t>
      </w:r>
      <w:r w:rsidR="00E6629B">
        <w:t>I</w:t>
      </w:r>
      <w:bookmarkStart w:id="0" w:name="_GoBack"/>
      <w:bookmarkEnd w:id="0"/>
      <w:r w:rsidR="002F6CCD">
        <w:t xml:space="preserve">l presente Regolamento, divenuta esecutiva la delibera di approvazione, entrerà in vigore con la contemporanea pubblicazione all’Albo Pretorio Informatico, in allegato alla deliberazione di approvazione. </w:t>
      </w:r>
    </w:p>
    <w:p w:rsidR="009D446C" w:rsidRDefault="00B8297A" w:rsidP="00B8297A">
      <w:pPr>
        <w:spacing w:after="69"/>
        <w:ind w:left="122" w:right="3" w:firstLine="0"/>
      </w:pPr>
      <w:r>
        <w:t>2.</w:t>
      </w:r>
      <w:r w:rsidR="002F6CCD">
        <w:t xml:space="preserve">Il presente Regolamento viene pubblicato sul sito istituzionale dell’Ente comunale, unitamente alla deliberazione di approvazione, all’albo pretorio on line, nonché nella sezione “Amministrazione </w:t>
      </w:r>
      <w:r w:rsidR="002F6CCD">
        <w:lastRenderedPageBreak/>
        <w:t xml:space="preserve">Trasparente” – sottosezioni “Atti generali”, “Regolamenti” e “Provvedimenti - Provvedimenti organi indirizzo politico”. </w:t>
      </w:r>
    </w:p>
    <w:p w:rsidR="009D446C" w:rsidRDefault="002F6CCD">
      <w:pPr>
        <w:numPr>
          <w:ilvl w:val="0"/>
          <w:numId w:val="12"/>
        </w:numPr>
        <w:ind w:right="3"/>
      </w:pPr>
      <w:r>
        <w:t xml:space="preserve">Per tutto quanto non espressamente previsto, trovano applicazione le vigenti disposizioni normativo-regolamentari pertinenti in materia. </w:t>
      </w:r>
    </w:p>
    <w:p w:rsidR="009D446C" w:rsidRDefault="009D446C">
      <w:pPr>
        <w:sectPr w:rsidR="009D446C">
          <w:footerReference w:type="even" r:id="rId7"/>
          <w:footerReference w:type="default" r:id="rId8"/>
          <w:footerReference w:type="first" r:id="rId9"/>
          <w:pgSz w:w="11906" w:h="16838"/>
          <w:pgMar w:top="1086" w:right="952" w:bottom="1743" w:left="881" w:header="720" w:footer="1135" w:gutter="0"/>
          <w:cols w:space="720"/>
        </w:sectPr>
      </w:pPr>
    </w:p>
    <w:p w:rsidR="009D446C" w:rsidRDefault="002F6CCD">
      <w:pPr>
        <w:spacing w:after="0" w:line="273" w:lineRule="auto"/>
        <w:ind w:left="128" w:right="0"/>
      </w:pPr>
      <w:r>
        <w:rPr>
          <w:sz w:val="28"/>
          <w:u w:val="single" w:color="000000"/>
        </w:rPr>
        <w:lastRenderedPageBreak/>
        <w:t>ALLEGATO A)</w:t>
      </w:r>
      <w:r>
        <w:rPr>
          <w:sz w:val="28"/>
        </w:rPr>
        <w:t xml:space="preserve"> AL REGOLAMENTO PER LA TUTELA E VALORIZZAZIONE DELLE ATTIVITÀ AGRO-ALIMENTARI TRADIZIONALI LOCALI. ISTITUZIONE DELLA “DE.C.O.” - DENOMINAZIONE COMUNALE DI ORIGINE.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15"/>
        </w:rPr>
        <w:t xml:space="preserve"> </w:t>
      </w:r>
    </w:p>
    <w:p w:rsidR="009D446C" w:rsidRDefault="009D446C">
      <w:pPr>
        <w:spacing w:after="6003" w:line="259" w:lineRule="auto"/>
        <w:ind w:left="2268" w:right="0" w:firstLine="0"/>
        <w:jc w:val="left"/>
      </w:pPr>
    </w:p>
    <w:p w:rsidR="009D446C" w:rsidRDefault="002F6CCD">
      <w:pPr>
        <w:spacing w:after="0" w:line="259" w:lineRule="auto"/>
        <w:ind w:left="0" w:right="0" w:firstLine="0"/>
        <w:jc w:val="left"/>
      </w:pPr>
      <w:r>
        <w:rPr>
          <w:sz w:val="2"/>
        </w:rPr>
        <w:t xml:space="preserve"> </w:t>
      </w:r>
    </w:p>
    <w:sectPr w:rsidR="009D446C">
      <w:footerReference w:type="even" r:id="rId10"/>
      <w:footerReference w:type="default" r:id="rId11"/>
      <w:footerReference w:type="first" r:id="rId12"/>
      <w:pgSz w:w="11906" w:h="16838"/>
      <w:pgMar w:top="1440" w:right="957" w:bottom="1440" w:left="8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4CE" w:rsidRDefault="00BA24CE">
      <w:pPr>
        <w:spacing w:after="0" w:line="240" w:lineRule="auto"/>
      </w:pPr>
      <w:r>
        <w:separator/>
      </w:r>
    </w:p>
  </w:endnote>
  <w:endnote w:type="continuationSeparator" w:id="0">
    <w:p w:rsidR="00BA24CE" w:rsidRDefault="00BA2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6C" w:rsidRDefault="002F6CCD">
    <w:pPr>
      <w:tabs>
        <w:tab w:val="right" w:pos="10074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6C" w:rsidRDefault="002F6CCD">
    <w:pPr>
      <w:tabs>
        <w:tab w:val="right" w:pos="10074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Pr="002F6CCD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6C" w:rsidRDefault="002F6CCD">
    <w:pPr>
      <w:tabs>
        <w:tab w:val="right" w:pos="10074"/>
      </w:tabs>
      <w:spacing w:after="0" w:line="259" w:lineRule="auto"/>
      <w:ind w:left="0" w:right="0" w:firstLine="0"/>
      <w:jc w:val="left"/>
    </w:pPr>
    <w:r>
      <w:rPr>
        <w:sz w:val="20"/>
      </w:rPr>
      <w:t xml:space="preserve"> </w:t>
    </w:r>
    <w:r>
      <w:rPr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6C" w:rsidRDefault="009D446C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6C" w:rsidRDefault="009D446C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46C" w:rsidRDefault="009D446C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4CE" w:rsidRDefault="00BA24CE">
      <w:pPr>
        <w:spacing w:after="0" w:line="240" w:lineRule="auto"/>
      </w:pPr>
      <w:r>
        <w:separator/>
      </w:r>
    </w:p>
  </w:footnote>
  <w:footnote w:type="continuationSeparator" w:id="0">
    <w:p w:rsidR="00BA24CE" w:rsidRDefault="00BA2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41B3F"/>
    <w:multiLevelType w:val="hybridMultilevel"/>
    <w:tmpl w:val="12B60D1A"/>
    <w:lvl w:ilvl="0" w:tplc="0AAE1E92">
      <w:start w:val="1"/>
      <w:numFmt w:val="bullet"/>
      <w:lvlText w:val="•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C82620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F0054E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4639E0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D64748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7EB100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089FEC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FCE632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3C40FC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F84CEB"/>
    <w:multiLevelType w:val="hybridMultilevel"/>
    <w:tmpl w:val="16262882"/>
    <w:lvl w:ilvl="0" w:tplc="8AF2E256">
      <w:start w:val="1"/>
      <w:numFmt w:val="decimal"/>
      <w:lvlText w:val="%1."/>
      <w:lvlJc w:val="left"/>
      <w:pPr>
        <w:ind w:left="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4206CE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66867A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22775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B878DA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086610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985A98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0D730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2C8514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FA77E7"/>
    <w:multiLevelType w:val="hybridMultilevel"/>
    <w:tmpl w:val="61126DBA"/>
    <w:lvl w:ilvl="0" w:tplc="F65489E6">
      <w:start w:val="1"/>
      <w:numFmt w:val="decimal"/>
      <w:lvlText w:val="%1.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BA04D4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C188A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2EEC66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020286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B4280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DAF4AA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84E4A4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C689D4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623F60"/>
    <w:multiLevelType w:val="hybridMultilevel"/>
    <w:tmpl w:val="1090DA8C"/>
    <w:lvl w:ilvl="0" w:tplc="B100D2A2">
      <w:start w:val="3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AE7E2C">
      <w:start w:val="1"/>
      <w:numFmt w:val="bullet"/>
      <w:lvlText w:val="•"/>
      <w:lvlJc w:val="left"/>
      <w:pPr>
        <w:ind w:left="1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EC31BA">
      <w:start w:val="1"/>
      <w:numFmt w:val="bullet"/>
      <w:lvlText w:val="▪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6AD668">
      <w:start w:val="1"/>
      <w:numFmt w:val="bullet"/>
      <w:lvlText w:val="•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500D58">
      <w:start w:val="1"/>
      <w:numFmt w:val="bullet"/>
      <w:lvlText w:val="o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1E3AD4">
      <w:start w:val="1"/>
      <w:numFmt w:val="bullet"/>
      <w:lvlText w:val="▪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127444">
      <w:start w:val="1"/>
      <w:numFmt w:val="bullet"/>
      <w:lvlText w:val="•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801CF2">
      <w:start w:val="1"/>
      <w:numFmt w:val="bullet"/>
      <w:lvlText w:val="o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CE80B8">
      <w:start w:val="1"/>
      <w:numFmt w:val="bullet"/>
      <w:lvlText w:val="▪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167AE0"/>
    <w:multiLevelType w:val="hybridMultilevel"/>
    <w:tmpl w:val="50EE39F6"/>
    <w:lvl w:ilvl="0" w:tplc="0F7C5458">
      <w:start w:val="1"/>
      <w:numFmt w:val="decimal"/>
      <w:lvlText w:val="%1.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EA49DA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B8C9FE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1EC1F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729858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EAD616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204EFA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80A650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FA77E2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3D70D3"/>
    <w:multiLevelType w:val="hybridMultilevel"/>
    <w:tmpl w:val="3FDEB0A2"/>
    <w:lvl w:ilvl="0" w:tplc="B088D4DA">
      <w:start w:val="1"/>
      <w:numFmt w:val="bullet"/>
      <w:lvlText w:val="•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FCEE4E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925414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AA245E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DE3CE0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1C3734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92A854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064C00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78E3920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E487704"/>
    <w:multiLevelType w:val="hybridMultilevel"/>
    <w:tmpl w:val="2E5603D6"/>
    <w:lvl w:ilvl="0" w:tplc="9C4CA6F8">
      <w:start w:val="1"/>
      <w:numFmt w:val="decimal"/>
      <w:lvlText w:val="%1.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5C67AA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01E0B3E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380D1A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44EFBC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A8E3A6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A48656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9E2F8B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76DCCC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67E6798"/>
    <w:multiLevelType w:val="hybridMultilevel"/>
    <w:tmpl w:val="DCA05EE2"/>
    <w:lvl w:ilvl="0" w:tplc="5A58573C">
      <w:start w:val="2"/>
      <w:numFmt w:val="lowerLetter"/>
      <w:lvlText w:val="%1)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32CAE6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AA72F8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12A126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B0EDD8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8167C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9CCDFA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2D3BC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7EC3DC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2902E3"/>
    <w:multiLevelType w:val="hybridMultilevel"/>
    <w:tmpl w:val="F2264632"/>
    <w:lvl w:ilvl="0" w:tplc="434E820E">
      <w:start w:val="1"/>
      <w:numFmt w:val="decimal"/>
      <w:lvlText w:val="%1.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3EEF7C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4BEF986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220A40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842BD2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8A427E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2A013E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DA2AC4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69C057A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C722D2"/>
    <w:multiLevelType w:val="hybridMultilevel"/>
    <w:tmpl w:val="3C446A4E"/>
    <w:lvl w:ilvl="0" w:tplc="B1D6EA72">
      <w:start w:val="1"/>
      <w:numFmt w:val="decimal"/>
      <w:lvlText w:val="%1.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C822D0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84A8F0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D6CA60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F40BC0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5A5EF6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24CA4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942526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E228A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027335"/>
    <w:multiLevelType w:val="hybridMultilevel"/>
    <w:tmpl w:val="03146BC0"/>
    <w:lvl w:ilvl="0" w:tplc="465A3D4A">
      <w:start w:val="1"/>
      <w:numFmt w:val="lowerLetter"/>
      <w:lvlText w:val="%1)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3499E4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1CD33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8E6F7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2E60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1C2E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1A7054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30B7D4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98B6C2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0C714E"/>
    <w:multiLevelType w:val="hybridMultilevel"/>
    <w:tmpl w:val="3EE663EA"/>
    <w:lvl w:ilvl="0" w:tplc="756644E4">
      <w:start w:val="1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0CB742">
      <w:start w:val="1"/>
      <w:numFmt w:val="lowerLetter"/>
      <w:lvlText w:val="%2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D2A70E">
      <w:start w:val="1"/>
      <w:numFmt w:val="lowerRoman"/>
      <w:lvlText w:val="%3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96D90A">
      <w:start w:val="1"/>
      <w:numFmt w:val="decimal"/>
      <w:lvlText w:val="%4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069752">
      <w:start w:val="1"/>
      <w:numFmt w:val="lowerLetter"/>
      <w:lvlText w:val="%5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F4D044">
      <w:start w:val="1"/>
      <w:numFmt w:val="lowerRoman"/>
      <w:lvlText w:val="%6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68E5AE">
      <w:start w:val="1"/>
      <w:numFmt w:val="decimal"/>
      <w:lvlText w:val="%7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145818">
      <w:start w:val="1"/>
      <w:numFmt w:val="lowerLetter"/>
      <w:lvlText w:val="%8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C87122">
      <w:start w:val="1"/>
      <w:numFmt w:val="lowerRoman"/>
      <w:lvlText w:val="%9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2"/>
  </w:num>
  <w:num w:numId="5">
    <w:abstractNumId w:val="0"/>
  </w:num>
  <w:num w:numId="6">
    <w:abstractNumId w:val="5"/>
  </w:num>
  <w:num w:numId="7">
    <w:abstractNumId w:val="11"/>
  </w:num>
  <w:num w:numId="8">
    <w:abstractNumId w:val="7"/>
  </w:num>
  <w:num w:numId="9">
    <w:abstractNumId w:val="3"/>
  </w:num>
  <w:num w:numId="10">
    <w:abstractNumId w:val="4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46C"/>
    <w:rsid w:val="002F6CCD"/>
    <w:rsid w:val="008A0ED3"/>
    <w:rsid w:val="009D446C"/>
    <w:rsid w:val="00AD7D6E"/>
    <w:rsid w:val="00B8297A"/>
    <w:rsid w:val="00BA24CE"/>
    <w:rsid w:val="00E6629B"/>
    <w:rsid w:val="00FA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4CBC"/>
  <w15:docId w15:val="{F2462C75-C262-46D0-9CB0-952445D9B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5" w:line="249" w:lineRule="auto"/>
      <w:ind w:left="3951" w:right="286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14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8"/>
    </w:rPr>
  </w:style>
  <w:style w:type="paragraph" w:styleId="Paragrafoelenco">
    <w:name w:val="List Paragraph"/>
    <w:basedOn w:val="Normale"/>
    <w:uiPriority w:val="34"/>
    <w:qFormat/>
    <w:rsid w:val="00AD7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Regolamento per la Tutela e Valorizzazione  delle Attività Agroalimentari Tradizionali Locali - Delibera n.9 del 13.03.2023</vt:lpstr>
    </vt:vector>
  </TitlesOfParts>
  <Company/>
  <LinksUpToDate>false</LinksUpToDate>
  <CharactersWithSpaces>11755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Regolamento per la Tutela e Valorizzazione  delle Attività Agroalimentari Tradizionali Locali - Delibera n.9 del 13.03.2023</dc:title>
  <dc:subject/>
  <dc:creator>CompagnG</dc:creator>
  <cp:keywords/>
  <cp:lastModifiedBy>Geraldo Bonacci</cp:lastModifiedBy>
  <cp:revision>3</cp:revision>
  <dcterms:created xsi:type="dcterms:W3CDTF">2024-12-04T15:12:00Z</dcterms:created>
  <dcterms:modified xsi:type="dcterms:W3CDTF">2024-12-04T15:14:00Z</dcterms:modified>
</cp:coreProperties>
</file>