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51" w:after="0"/>
        <w:jc w:val="right"/>
        <w:rPr>
          <w:bCs/>
          <w:caps/>
          <w:kern w:val="2"/>
          <w:szCs w:val="24"/>
        </w:rPr>
      </w:pPr>
      <w:r>
        <w:rPr>
          <w:b/>
          <w:caps/>
          <w:kern w:val="2"/>
          <w:u w:val="thick"/>
        </w:rPr>
        <w:t>Allegato C</w:t>
      </w:r>
    </w:p>
    <w:p>
      <w:pPr>
        <w:pStyle w:val="Heading1"/>
        <w:jc w:val="center"/>
        <w:rPr>
          <w:bCs/>
          <w:szCs w:val="24"/>
        </w:rPr>
      </w:pPr>
      <w:r>
        <w:rPr>
          <w:bCs/>
          <w:szCs w:val="24"/>
        </w:rPr>
      </w:r>
    </w:p>
    <w:p>
      <w:pPr>
        <w:pStyle w:val="Normal"/>
        <w:ind w:left="318" w:right="326"/>
        <w:jc w:val="center"/>
        <w:rPr>
          <w:b/>
        </w:rPr>
      </w:pPr>
      <w:r>
        <w:rPr>
          <w:b/>
        </w:rPr>
        <w:t>Avviso Biblioteche E.F. 2025</w:t>
      </w:r>
    </w:p>
    <w:p>
      <w:pPr>
        <w:pStyle w:val="BodyText"/>
        <w:jc w:val="center"/>
        <w:rPr/>
      </w:pPr>
      <w:r>
        <w:rPr/>
      </w:r>
    </w:p>
    <w:p>
      <w:pPr>
        <w:pStyle w:val="Normal"/>
        <w:ind w:left="318" w:right="326"/>
        <w:jc w:val="both"/>
        <w:rPr>
          <w:b/>
          <w:sz w:val="19"/>
        </w:rPr>
      </w:pPr>
      <w:r>
        <w:rPr>
          <w:b/>
        </w:rPr>
        <w:t>RELAZIONE ILLUSTRATIVA DELLE CARATTERISTICHE DELLA BIBLIOTECA/ISTITUTO</w:t>
      </w:r>
    </w:p>
    <w:p>
      <w:pPr>
        <w:pStyle w:val="BodyText"/>
        <w:jc w:val="both"/>
        <w:rPr>
          <w:b/>
          <w:sz w:val="19"/>
        </w:rPr>
      </w:pPr>
      <w:r>
        <w:rPr>
          <w:b/>
          <w:sz w:val="19"/>
        </w:rPr>
      </w:r>
    </w:p>
    <w:tbl>
      <w:tblPr>
        <w:tblW w:w="10348" w:type="dxa"/>
        <w:jc w:val="left"/>
        <w:tblInd w:w="-362" w:type="dxa"/>
        <w:tblLayout w:type="fixed"/>
        <w:tblCellMar>
          <w:top w:w="55" w:type="dxa"/>
          <w:left w:w="50" w:type="dxa"/>
          <w:bottom w:w="55" w:type="dxa"/>
          <w:right w:w="55" w:type="dxa"/>
        </w:tblCellMar>
        <w:tblLook w:firstRow="0" w:noVBand="0" w:lastRow="0" w:firstColumn="0" w:lastColumn="0" w:noHBand="0" w:val="0000"/>
      </w:tblPr>
      <w:tblGrid>
        <w:gridCol w:w="4820"/>
        <w:gridCol w:w="5527"/>
      </w:tblGrid>
      <w:tr>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Contenutocorniceuser"/>
              <w:tabs>
                <w:tab w:val="clear" w:pos="708"/>
                <w:tab w:val="left" w:pos="10770" w:leader="none"/>
              </w:tabs>
              <w:jc w:val="center"/>
              <w:rPr>
                <w:rFonts w:ascii="Arial Black" w:hAnsi="Arial Black" w:cs="Arial Black"/>
                <w:b/>
                <w:bCs/>
                <w:szCs w:val="24"/>
              </w:rPr>
            </w:pPr>
            <w:r>
              <w:rPr>
                <w:b/>
                <w:bCs/>
              </w:rPr>
              <w:t>Tipologia</w:t>
            </w:r>
          </w:p>
        </w:tc>
      </w:tr>
      <w:tr>
        <w:trPr/>
        <w:tc>
          <w:tcPr>
            <w:tcW w:w="4820" w:type="dxa"/>
            <w:tcBorders>
              <w:top w:val="single" w:sz="2" w:space="0" w:color="000000"/>
              <w:left w:val="single" w:sz="2" w:space="0" w:color="000000"/>
              <w:bottom w:val="single" w:sz="2" w:space="0" w:color="000000"/>
              <w:right w:val="single" w:sz="2" w:space="0" w:color="000000"/>
            </w:tcBorders>
            <w:shd w:color="auto" w:fill="FFFFFF" w:val="clear"/>
          </w:tcPr>
          <w:p>
            <w:pPr>
              <w:pStyle w:val="Contenutocorniceuser"/>
              <w:tabs>
                <w:tab w:val="clear" w:pos="708"/>
                <w:tab w:val="left" w:pos="10770" w:leader="none"/>
              </w:tabs>
              <w:jc w:val="center"/>
              <w:rPr>
                <w:rFonts w:ascii="Arial Black" w:hAnsi="Arial Black" w:cs="Arial Black"/>
                <w:szCs w:val="24"/>
              </w:rPr>
            </w:pPr>
            <w:r>
              <w:rPr>
                <w:rFonts w:eastAsia="MS Gothic" w:ascii="MS Gothic" w:hAnsi="MS Gothic"/>
                <w:b/>
                <w:bCs/>
                <w:sz w:val="40"/>
                <w:szCs w:val="40"/>
              </w:rPr>
              <w:t>x</w:t>
            </w:r>
            <w:sdt>
              <w:sdtPr>
                <w:id w:val="798962174"/>
                <w14:checkbox>
                  <w14:checked w14:val="0"/>
                  <w14:checkedState w14:val="2612"/>
                  <w14:uncheckedState w14:val="2610"/>
                </w14:checkbox>
              </w:sdtPr>
              <w:sdtContent>
                <w:r>
                  <w:rPr>
                    <w:rFonts w:eastAsia="MS Gothic" w:ascii="MS Gothic" w:hAnsi="MS Gothic"/>
                    <w:b/>
                    <w:bCs/>
                    <w:sz w:val="40"/>
                    <w:szCs w:val="40"/>
                  </w:rPr>
                </w:r>
                <w:r>
                  <w:rPr>
                    <w:rFonts w:eastAsia="MS Gothic" w:ascii="MS Gothic" w:hAnsi="MS Gothic"/>
                    <w:sz w:val="40"/>
                    <w:szCs w:val="40"/>
                  </w:rPr>
                  <w:t>☐</w:t>
                </w:r>
              </w:sdtContent>
            </w:sdt>
            <w:r>
              <w:rPr>
                <w:sz w:val="40"/>
                <w:szCs w:val="40"/>
              </w:rPr>
              <w:t xml:space="preserve"> </w:t>
            </w:r>
            <w:r>
              <w:rPr>
                <w:szCs w:val="24"/>
              </w:rPr>
              <w:t>BIBLIOTECA</w:t>
            </w:r>
          </w:p>
        </w:tc>
        <w:tc>
          <w:tcPr>
            <w:tcW w:w="5527" w:type="dxa"/>
            <w:tcBorders>
              <w:top w:val="single" w:sz="2" w:space="0" w:color="000000"/>
              <w:left w:val="single" w:sz="2" w:space="0" w:color="000000"/>
              <w:bottom w:val="single" w:sz="2" w:space="0" w:color="000000"/>
              <w:right w:val="single" w:sz="2" w:space="0" w:color="000000"/>
            </w:tcBorders>
            <w:shd w:color="auto" w:fill="FFFFFF" w:val="clear"/>
          </w:tcPr>
          <w:p>
            <w:pPr>
              <w:pStyle w:val="Contenutocorniceuser"/>
              <w:tabs>
                <w:tab w:val="clear" w:pos="708"/>
                <w:tab w:val="left" w:pos="10770" w:leader="none"/>
              </w:tabs>
              <w:spacing w:lineRule="auto" w:line="240"/>
              <w:jc w:val="both"/>
              <w:rPr/>
            </w:pPr>
            <w:sdt>
              <w:sdtPr>
                <w:id w:val="1698195417"/>
                <w14:checkbox>
                  <w14:checked w14:val="0"/>
                  <w14:checkedState w14:val="2612"/>
                  <w14:uncheckedState w14:val="2610"/>
                </w14:checkbox>
              </w:sdtPr>
              <w:sdtContent>
                <w:r>
                  <w:rPr>
                    <w:rFonts w:eastAsia="MS Gothic" w:cs="Arial Black" w:ascii="MS Gothic" w:hAnsi="MS Gothic"/>
                    <w:szCs w:val="24"/>
                  </w:rPr>
                </w:r>
                <w:r>
                  <w:rPr>
                    <w:rFonts w:eastAsia="MS Gothic" w:cs="Arial Black" w:ascii="MS Gothic" w:hAnsi="MS Gothic"/>
                    <w:szCs w:val="24"/>
                  </w:rPr>
                  <w:t>☐</w:t>
                </w:r>
              </w:sdtContent>
            </w:sdt>
            <w:r>
              <w:rPr>
                <w:rFonts w:eastAsia="Arial Black" w:cs="Arial Black" w:ascii="Arial Black" w:hAnsi="Arial Black"/>
                <w:szCs w:val="24"/>
              </w:rPr>
              <w:t xml:space="preserve"> </w:t>
            </w:r>
            <w:r>
              <w:rPr>
                <w:szCs w:val="24"/>
              </w:rPr>
              <w:t xml:space="preserve">ISTITUTO </w:t>
            </w:r>
            <w:r>
              <w:rPr>
                <w:i/>
                <w:iCs/>
                <w:sz w:val="18"/>
                <w:szCs w:val="18"/>
              </w:rPr>
              <w:t>di natura giuridica pubblica o privata che conduca attività complementari con le biblioteche</w:t>
            </w:r>
          </w:p>
        </w:tc>
      </w:tr>
      <w:tr>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tabs>
                <w:tab w:val="clear" w:pos="708"/>
                <w:tab w:val="left" w:pos="10770" w:leader="none"/>
              </w:tabs>
              <w:spacing w:lineRule="auto" w:line="360" w:before="78" w:after="0"/>
              <w:rPr>
                <w:b/>
              </w:rPr>
            </w:pPr>
            <w:r>
              <w:rPr>
                <w:b/>
              </w:rPr>
              <w:t xml:space="preserve">DENOMINAZIONE: </w:t>
            </w:r>
            <w:r>
              <w:rPr>
                <w:b/>
              </w:rPr>
              <w:t>Istituzione Biblioteca comunale</w:t>
            </w:r>
          </w:p>
        </w:tc>
      </w:tr>
      <w:tr>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tabs>
                <w:tab w:val="clear" w:pos="708"/>
                <w:tab w:val="left" w:pos="10770" w:leader="none"/>
              </w:tabs>
              <w:spacing w:lineRule="auto" w:line="360" w:before="78" w:after="0"/>
              <w:rPr/>
            </w:pPr>
            <w:r>
              <w:rPr/>
              <w:t>Relazione illustrativa delle caratteristiche generali della Biblioteca/dell’Istituto (max 5000 caratteri, spazi inclusi)</w:t>
            </w:r>
          </w:p>
        </w:tc>
      </w:tr>
      <w:tr>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Contenutocorniceuser"/>
              <w:tabs>
                <w:tab w:val="clear" w:pos="708"/>
                <w:tab w:val="left" w:pos="10770" w:leader="none"/>
              </w:tabs>
              <w:rPr>
                <w:szCs w:val="24"/>
              </w:rPr>
            </w:pPr>
            <w:r>
              <w:rPr>
                <w:szCs w:val="24"/>
              </w:rPr>
            </w:r>
          </w:p>
          <w:p>
            <w:pPr>
              <w:pStyle w:val="BodyText"/>
              <w:tabs>
                <w:tab w:val="clear" w:pos="708"/>
                <w:tab w:val="left" w:pos="10770" w:leader="none"/>
              </w:tabs>
              <w:rPr>
                <w:szCs w:val="24"/>
              </w:rPr>
            </w:pPr>
            <w:r>
              <w:rPr>
                <w:sz w:val="22"/>
                <w:szCs w:val="22"/>
              </w:rPr>
              <w:t xml:space="preserve">La </w:t>
            </w:r>
            <w:r>
              <w:rPr>
                <w:rStyle w:val="Strong"/>
                <w:sz w:val="22"/>
                <w:szCs w:val="22"/>
              </w:rPr>
              <w:t>Biblioteca Comunale di Maddaloni</w:t>
            </w:r>
            <w:r>
              <w:rPr>
                <w:sz w:val="22"/>
                <w:szCs w:val="22"/>
              </w:rPr>
              <w:t>, istituita ufficialmente con delibera consiliare n. 39 del 1° marzo 1969, è da sempre un punto di riferimento culturale di primaria importanza per la comunità locale, con particolare attenzione ai giovani e alla promozione dell’educazione continua. Inizialmente situata nei locali al piano terra del Palazzo Barletta in Via Amendola, ha avviato il proprio percorso istituzionale con l’adozione del primo Regolamento nel 1974. La sede è stata trasferita nel 1981 in Piazza della Pace e, dal 2014, occupa il prestigioso edificio dell'ex Liceo Ginnasio "Giordano Bruno", un immobile storico risalente alla seconda metà dell’Ottocento, situato in via S. Francesco d’Assisi 115. Questo complesso fa parte di un sito monumentale che originariamente ospitava il Real Collegio di Terra di Lavoro, un ex monastero francescano del XV secolo. Nel corso dei secoli, la struttura ha subito numerosi ampliamenti e trasformazioni, con importanti lavori di restauro che hanno avuto inizio nel XVIII secolo e si sono conclusi con modifiche rilevanti negli anni Settanta del Novecento.</w:t>
            </w:r>
          </w:p>
          <w:p>
            <w:pPr>
              <w:pStyle w:val="BodyText"/>
              <w:spacing w:before="0" w:after="283"/>
              <w:rPr>
                <w:sz w:val="22"/>
                <w:szCs w:val="22"/>
              </w:rPr>
            </w:pPr>
            <w:r>
              <w:rPr>
                <w:sz w:val="22"/>
                <w:szCs w:val="22"/>
              </w:rPr>
              <w:t>Il servizio è attivo con un orario di apertura di 60 ore settimanali (dal lunedì al venerdì, dalle 8:00 alle 20:00) ed è accessibile gratuitamente al pubblico. L’ambiente si distingue per essere accogliente e inclusivo, con due sale studio dotate di Wi-Fi gratuito e uno spazio esterno nel chiostro centrale, ideale per la lettura e la socializzazione.</w:t>
            </w:r>
          </w:p>
          <w:p>
            <w:pPr>
              <w:pStyle w:val="BodyText"/>
              <w:spacing w:before="0" w:after="283"/>
              <w:rPr>
                <w:sz w:val="22"/>
                <w:szCs w:val="22"/>
              </w:rPr>
            </w:pPr>
            <w:r>
              <w:rPr>
                <w:sz w:val="22"/>
                <w:szCs w:val="22"/>
              </w:rPr>
              <w:t>Nel corso degli anni, la struttura ha saputo sviluppare un patrimonio librario di grande valore, comprendente una vasta gamma di opere classiche e moderne, insieme a testi specialistici e di ricerca. Il fondo documentario è organizzato secondo il sistema di classificazione decimale Dewey. Accanto ai testi storici e classici, è disponibile una selezione di opere aggiornate in ogni sezione, rispondendo così alle diverse esigenze della comunità.</w:t>
            </w:r>
          </w:p>
          <w:p>
            <w:pPr>
              <w:pStyle w:val="BodyText"/>
              <w:spacing w:before="0" w:after="283"/>
              <w:rPr/>
            </w:pPr>
            <w:r>
              <w:rPr>
                <w:sz w:val="22"/>
                <w:szCs w:val="22"/>
              </w:rPr>
              <w:t xml:space="preserve">Oltre ai tradizionali servizi di prestito e lettura, è possibile consultare le principali testate giornalistiche nazionali e locali, arricchendo l’offerta informativa per tutti gli utenti. Dal 2022, l'istituzione ha aderito al Servizio Nazionale Bibliotecario (SBN), partecipando attivamente alla digitalizzazione del suo patrimonio. È in corso la catalogazione dell’intero patrimonio librario, che sarà interamente consultabile online tramite il nuovo catalogo digitale, accessibile all'indirizzo: </w:t>
            </w:r>
            <w:hyperlink r:id="rId2" w:tgtFrame="_new">
              <w:r>
                <w:rPr>
                  <w:rStyle w:val="Hyperlink"/>
                  <w:sz w:val="22"/>
                  <w:szCs w:val="22"/>
                </w:rPr>
                <w:t>https://opac.bnnonline.it/SebinaOpac/.do</w:t>
              </w:r>
            </w:hyperlink>
            <w:r>
              <w:rPr>
                <w:sz w:val="22"/>
                <w:szCs w:val="22"/>
              </w:rPr>
              <w:t>.</w:t>
            </w:r>
          </w:p>
          <w:p>
            <w:pPr>
              <w:pStyle w:val="Contenutocorniceuser"/>
              <w:tabs>
                <w:tab w:val="clear" w:pos="708"/>
                <w:tab w:val="left" w:pos="10770" w:leader="none"/>
              </w:tabs>
              <w:rPr>
                <w:sz w:val="22"/>
                <w:szCs w:val="22"/>
              </w:rPr>
            </w:pPr>
            <w:r>
              <w:rPr>
                <w:sz w:val="22"/>
                <w:szCs w:val="22"/>
              </w:rPr>
            </w:r>
          </w:p>
        </w:tc>
      </w:tr>
      <w:tr>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Normal"/>
              <w:tabs>
                <w:tab w:val="clear" w:pos="708"/>
                <w:tab w:val="left" w:pos="10770" w:leader="none"/>
              </w:tabs>
              <w:spacing w:lineRule="auto" w:line="360" w:before="78" w:after="0"/>
              <w:rPr>
                <w:sz w:val="22"/>
                <w:szCs w:val="22"/>
              </w:rPr>
            </w:pPr>
            <w:r>
              <w:rPr>
                <w:sz w:val="22"/>
                <w:szCs w:val="22"/>
              </w:rPr>
              <w:t>Principali attività realizzate nell’ultimo triennio (dal 2022 al 2024) - (max 5000 caratteri, spazi inclusi)</w:t>
            </w:r>
          </w:p>
          <w:p>
            <w:pPr>
              <w:pStyle w:val="Normal"/>
              <w:tabs>
                <w:tab w:val="clear" w:pos="708"/>
                <w:tab w:val="left" w:pos="10770" w:leader="none"/>
              </w:tabs>
              <w:spacing w:lineRule="auto" w:line="360" w:before="78" w:after="0"/>
              <w:rPr>
                <w:sz w:val="22"/>
                <w:szCs w:val="22"/>
              </w:rPr>
            </w:pPr>
            <w:r>
              <w:rPr>
                <w:sz w:val="22"/>
                <w:szCs w:val="22"/>
              </w:rPr>
            </w:r>
          </w:p>
          <w:p>
            <w:pPr>
              <w:pStyle w:val="Normal"/>
              <w:tabs>
                <w:tab w:val="clear" w:pos="708"/>
                <w:tab w:val="left" w:pos="10770" w:leader="none"/>
              </w:tabs>
              <w:spacing w:lineRule="auto" w:line="360" w:before="78" w:after="0"/>
              <w:rPr>
                <w:sz w:val="22"/>
                <w:szCs w:val="22"/>
              </w:rPr>
            </w:pPr>
            <w:r>
              <w:rPr>
                <w:sz w:val="22"/>
                <w:szCs w:val="22"/>
              </w:rPr>
              <w:t>Nel triennio 2022-2024, la Biblioteca Comunale di Maddaloni ha continuato a svolgere un ruolo centrale nella vita culturale e sociale della comunità, proponendo numerosi progetti e iniziative che hanno mirato a coinvolgere un pubblico sempre più ampio e diversificato. L’obiettivo principale è stato quello di promuovere la lettura, l’educazione e l’inclusione sociale, adattandosi alle sfide contemporanee e integrando nuove tecnologie nei servizi offerti.</w:t>
            </w:r>
          </w:p>
          <w:p>
            <w:pPr>
              <w:pStyle w:val="Normal"/>
              <w:tabs>
                <w:tab w:val="clear" w:pos="708"/>
                <w:tab w:val="left" w:pos="10770" w:leader="none"/>
              </w:tabs>
              <w:spacing w:lineRule="auto" w:line="360" w:before="78" w:after="0"/>
              <w:rPr>
                <w:b/>
                <w:bCs/>
                <w:sz w:val="22"/>
                <w:szCs w:val="22"/>
              </w:rPr>
            </w:pPr>
            <w:r>
              <w:rPr>
                <w:b/>
                <w:bCs/>
                <w:sz w:val="22"/>
                <w:szCs w:val="22"/>
              </w:rPr>
              <w:t>Promozione della lettura e incontri con le scuole</w:t>
            </w:r>
          </w:p>
          <w:p>
            <w:pPr>
              <w:pStyle w:val="Normal"/>
              <w:tabs>
                <w:tab w:val="clear" w:pos="708"/>
                <w:tab w:val="left" w:pos="10770" w:leader="none"/>
              </w:tabs>
              <w:spacing w:lineRule="auto" w:line="360" w:before="78" w:after="0"/>
              <w:rPr>
                <w:sz w:val="22"/>
                <w:szCs w:val="22"/>
              </w:rPr>
            </w:pPr>
            <w:r>
              <w:rPr>
                <w:sz w:val="22"/>
                <w:szCs w:val="22"/>
              </w:rPr>
              <w:t>Durante questi anni, la biblioteca ha intensificato la collaborazione con le scuole, organizzando eventi e attività che hanno coinvolto numerosi studenti. Tra le iniziative principali, si segnala la promozione del Maggio dei Libri, che ha visto la partecipazione di alunni delle scuole primarie e secondarie di Maddaloni. Questo evento ha rappresentato un'importante occasione di sensibilizzazione alla lettura, con attività didattiche mirate a stimolare l'interesse dei più giovani verso i libri.</w:t>
            </w:r>
          </w:p>
          <w:p>
            <w:pPr>
              <w:pStyle w:val="Normal"/>
              <w:tabs>
                <w:tab w:val="clear" w:pos="708"/>
                <w:tab w:val="left" w:pos="10770" w:leader="none"/>
              </w:tabs>
              <w:spacing w:lineRule="auto" w:line="360" w:before="78" w:after="0"/>
              <w:rPr>
                <w:b/>
                <w:bCs/>
                <w:sz w:val="22"/>
                <w:szCs w:val="22"/>
              </w:rPr>
            </w:pPr>
            <w:r>
              <w:rPr>
                <w:b/>
                <w:bCs/>
                <w:sz w:val="22"/>
                <w:szCs w:val="22"/>
              </w:rPr>
              <w:t>Incontri con autori e presentazioni di libri</w:t>
            </w:r>
          </w:p>
          <w:p>
            <w:pPr>
              <w:pStyle w:val="Normal"/>
              <w:tabs>
                <w:tab w:val="clear" w:pos="708"/>
                <w:tab w:val="left" w:pos="10770" w:leader="none"/>
              </w:tabs>
              <w:spacing w:lineRule="auto" w:line="360" w:before="78" w:after="0"/>
              <w:rPr>
                <w:sz w:val="22"/>
                <w:szCs w:val="22"/>
              </w:rPr>
            </w:pPr>
            <w:r>
              <w:rPr>
                <w:sz w:val="22"/>
                <w:szCs w:val="22"/>
              </w:rPr>
              <w:t>La biblioteca ha ospitato numerosi incontri con autori locali e nazionali, offrendo uno spazio di confronto diretto tra lettori e scrittori. Questi eventi hanno favorito la scoperta di nuove opere e incentivato il dibattito su temi attuali di rilevanza culturale. Tra gli autori ospitati, ricordiamo personalità di spicco nel panorama letterario italiano, che hanno presentato i loro ultimi libri, attirando un pubblico variegato e numeroso.</w:t>
            </w:r>
          </w:p>
          <w:p>
            <w:pPr>
              <w:pStyle w:val="Normal"/>
              <w:tabs>
                <w:tab w:val="clear" w:pos="708"/>
                <w:tab w:val="left" w:pos="10770" w:leader="none"/>
              </w:tabs>
              <w:spacing w:lineRule="auto" w:line="360" w:before="78" w:after="0"/>
              <w:rPr>
                <w:b/>
                <w:bCs/>
                <w:sz w:val="22"/>
                <w:szCs w:val="22"/>
              </w:rPr>
            </w:pPr>
            <w:r>
              <w:rPr>
                <w:b/>
                <w:bCs/>
                <w:sz w:val="22"/>
                <w:szCs w:val="22"/>
              </w:rPr>
              <w:t>Progetti di inclusione sociale e tecnologica</w:t>
            </w:r>
          </w:p>
          <w:p>
            <w:pPr>
              <w:pStyle w:val="Normal"/>
              <w:tabs>
                <w:tab w:val="clear" w:pos="708"/>
                <w:tab w:val="left" w:pos="10770" w:leader="none"/>
              </w:tabs>
              <w:spacing w:lineRule="auto" w:line="360" w:before="78" w:after="0"/>
              <w:rPr>
                <w:sz w:val="22"/>
                <w:szCs w:val="22"/>
              </w:rPr>
            </w:pPr>
            <w:r>
              <w:rPr>
                <w:sz w:val="22"/>
                <w:szCs w:val="22"/>
              </w:rPr>
              <w:t>Nel contesto di un continuo impegno per l'inclusività, la biblioteca ha sviluppato diversi progetti di accesso alla cultura e alla tecnologia. È stato potenziato il servizio di prestito digitale, ampliando la dotazione tecnologica con postazioni PC e una connessione Wi-Fi gratuita, rendendo così la cultura digitale accessibile anche ai cittadini meno avvantaggiati. Inoltre, sono stati organizzati corsi di alfabetizzazione digitale per adulti e anziani, favorendo l'integrazione delle nuove tecnologie nella vita quotidiana.</w:t>
            </w:r>
          </w:p>
          <w:p>
            <w:pPr>
              <w:pStyle w:val="Normal"/>
              <w:tabs>
                <w:tab w:val="clear" w:pos="708"/>
                <w:tab w:val="left" w:pos="10770" w:leader="none"/>
              </w:tabs>
              <w:spacing w:lineRule="auto" w:line="360" w:before="78" w:after="0"/>
              <w:rPr>
                <w:b/>
                <w:bCs/>
                <w:i w:val="false"/>
                <w:i w:val="false"/>
                <w:iCs w:val="false"/>
                <w:sz w:val="22"/>
                <w:szCs w:val="22"/>
              </w:rPr>
            </w:pPr>
            <w:r>
              <w:rPr>
                <w:b/>
                <w:bCs/>
                <w:i w:val="false"/>
                <w:iCs w:val="false"/>
                <w:sz w:val="22"/>
                <w:szCs w:val="22"/>
              </w:rPr>
              <w:t>Attività per adulti e anziani</w:t>
            </w:r>
          </w:p>
          <w:p>
            <w:pPr>
              <w:pStyle w:val="Normal"/>
              <w:tabs>
                <w:tab w:val="clear" w:pos="708"/>
                <w:tab w:val="left" w:pos="10770" w:leader="none"/>
              </w:tabs>
              <w:spacing w:lineRule="auto" w:line="360" w:before="78" w:after="0"/>
              <w:rPr>
                <w:sz w:val="22"/>
                <w:szCs w:val="22"/>
              </w:rPr>
            </w:pPr>
            <w:r>
              <w:rPr>
                <w:sz w:val="22"/>
                <w:szCs w:val="22"/>
              </w:rPr>
              <w:t>La biblioteca ha proseguito la sua tradizione di promuovere la lettura anche tra gli adulti e gli anziani, con progetti dedicati a questi gruppi. In particolare, sono stati organizzati gruppi di lettura mensili, che hanno visto la partecipazione attiva di molti cittadini, favorendo la socializzazione e l'inclusione. Questi gruppi hanno rappresentato un'opportunità di confronto e discussione su libri di interesse comune, contribuendo a rafforzare il legame tra i membri della comunità.</w:t>
            </w:r>
          </w:p>
          <w:p>
            <w:pPr>
              <w:pStyle w:val="Normal"/>
              <w:tabs>
                <w:tab w:val="clear" w:pos="708"/>
                <w:tab w:val="left" w:pos="10770" w:leader="none"/>
              </w:tabs>
              <w:spacing w:lineRule="auto" w:line="360" w:before="78" w:after="0"/>
              <w:rPr>
                <w:b/>
                <w:bCs/>
                <w:sz w:val="22"/>
                <w:szCs w:val="22"/>
              </w:rPr>
            </w:pPr>
            <w:r>
              <w:rPr>
                <w:b/>
                <w:bCs/>
                <w:sz w:val="22"/>
                <w:szCs w:val="22"/>
              </w:rPr>
              <w:t>Miglioramento dei servizi online</w:t>
            </w:r>
          </w:p>
          <w:p>
            <w:pPr>
              <w:pStyle w:val="Normal"/>
              <w:tabs>
                <w:tab w:val="clear" w:pos="708"/>
                <w:tab w:val="left" w:pos="10770" w:leader="none"/>
              </w:tabs>
              <w:spacing w:lineRule="auto" w:line="360" w:before="78" w:after="0"/>
              <w:rPr>
                <w:sz w:val="22"/>
                <w:szCs w:val="22"/>
              </w:rPr>
            </w:pPr>
            <w:r>
              <w:rPr>
                <w:sz w:val="22"/>
                <w:szCs w:val="22"/>
              </w:rPr>
              <w:t>Dal 2022, la biblioteca ha avviato un importante processo di digitalizzazione del proprio patrimonio librario, con l'intento di rendere i contenuti facilmente accessibili anche a distanza. È stato creato un nuovo catalogo digitale online, che permette agli utenti di consultare il patrimonio della biblioteca in qualsiasi momento e di prenotare libri o altri materiali. Questo passaggio ha migliorato significativamente l'accesso alle risorse, rispondendo alle esigenze di una comunità sempre più connessa e digitale.</w:t>
            </w:r>
          </w:p>
        </w:tc>
      </w:tr>
      <w:tr>
        <w:trPr>
          <w:trHeight w:val="3639" w:hRule="atLeast"/>
        </w:trPr>
        <w:tc>
          <w:tcPr>
            <w:tcW w:w="10347" w:type="dxa"/>
            <w:gridSpan w:val="2"/>
            <w:tcBorders>
              <w:top w:val="single" w:sz="2" w:space="0" w:color="000000"/>
              <w:left w:val="single" w:sz="2" w:space="0" w:color="000000"/>
              <w:bottom w:val="single" w:sz="2" w:space="0" w:color="000000"/>
              <w:right w:val="single" w:sz="2" w:space="0" w:color="000000"/>
            </w:tcBorders>
            <w:shd w:color="auto" w:fill="FFFFFF" w:val="clear"/>
          </w:tcPr>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p>
            <w:pPr>
              <w:pStyle w:val="Contenutocorniceuser"/>
              <w:tabs>
                <w:tab w:val="clear" w:pos="708"/>
                <w:tab w:val="left" w:pos="10770" w:leader="none"/>
              </w:tabs>
              <w:rPr>
                <w:sz w:val="22"/>
                <w:szCs w:val="22"/>
              </w:rPr>
            </w:pPr>
            <w:r>
              <w:rPr>
                <w:sz w:val="22"/>
                <w:szCs w:val="22"/>
              </w:rPr>
            </w:r>
          </w:p>
        </w:tc>
      </w:tr>
    </w:tbl>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Liberation Sans">
    <w:altName w:val="Arial"/>
    <w:charset w:val="00"/>
    <w:family w:val="swiss"/>
    <w:pitch w:val="variable"/>
  </w:font>
  <w:font w:name="Arial Black">
    <w:charset w:val="00"/>
    <w:family w:val="swiss"/>
    <w:pitch w:val="variable"/>
  </w:font>
  <w:font w:name="MS Gothic">
    <w:charset w:val="00"/>
    <w:family w:val="auto"/>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490"/>
    <w:pPr>
      <w:widowControl/>
      <w:suppressAutoHyphens w:val="true"/>
      <w:bidi w:val="0"/>
      <w:spacing w:lineRule="atLeast" w:line="100" w:before="0" w:after="0"/>
      <w:jc w:val="left"/>
    </w:pPr>
    <w:rPr>
      <w:rFonts w:ascii="Arial" w:hAnsi="Arial" w:eastAsia="Arial" w:cs="Arial"/>
      <w:color w:val="00000A"/>
      <w:kern w:val="2"/>
      <w:sz w:val="22"/>
      <w:szCs w:val="22"/>
      <w:lang w:eastAsia="it-IT" w:bidi="it-IT" w:val="it-IT"/>
      <w14:ligatures w14:val="none"/>
    </w:rPr>
  </w:style>
  <w:style w:type="paragraph" w:styleId="Heading1">
    <w:name w:val="heading 1"/>
    <w:basedOn w:val="Normal"/>
    <w:next w:val="Normal"/>
    <w:link w:val="Titolo1Carattere"/>
    <w:qFormat/>
    <w:rsid w:val="00f31490"/>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f31490"/>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f31490"/>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f31490"/>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f31490"/>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f3149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f3149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f31490"/>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f31490"/>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f31490"/>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uiPriority w:val="9"/>
    <w:semiHidden/>
    <w:qFormat/>
    <w:rsid w:val="00f31490"/>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uiPriority w:val="9"/>
    <w:semiHidden/>
    <w:qFormat/>
    <w:rsid w:val="00f31490"/>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uiPriority w:val="9"/>
    <w:semiHidden/>
    <w:qFormat/>
    <w:rsid w:val="00f31490"/>
    <w:rPr>
      <w:rFonts w:eastAsia="" w:cs="" w:cstheme="majorBidi" w:eastAsiaTheme="majorEastAsia"/>
      <w:i/>
      <w:iCs/>
      <w:color w:themeColor="accent1" w:themeShade="bf" w:val="2F5496"/>
    </w:rPr>
  </w:style>
  <w:style w:type="character" w:styleId="Titolo5Carattere" w:customStyle="1">
    <w:name w:val="Titolo 5 Carattere"/>
    <w:basedOn w:val="DefaultParagraphFont"/>
    <w:uiPriority w:val="9"/>
    <w:semiHidden/>
    <w:qFormat/>
    <w:rsid w:val="00f31490"/>
    <w:rPr>
      <w:rFonts w:eastAsia="" w:cs="" w:cstheme="majorBidi" w:eastAsiaTheme="majorEastAsia"/>
      <w:color w:themeColor="accent1" w:themeShade="bf" w:val="2F5496"/>
    </w:rPr>
  </w:style>
  <w:style w:type="character" w:styleId="Titolo6Carattere" w:customStyle="1">
    <w:name w:val="Titolo 6 Carattere"/>
    <w:basedOn w:val="DefaultParagraphFont"/>
    <w:uiPriority w:val="9"/>
    <w:semiHidden/>
    <w:qFormat/>
    <w:rsid w:val="00f31490"/>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f31490"/>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f31490"/>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f31490"/>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f31490"/>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f31490"/>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f31490"/>
    <w:rPr>
      <w:i/>
      <w:iCs/>
      <w:color w:themeColor="text1" w:themeTint="bf" w:val="404040"/>
    </w:rPr>
  </w:style>
  <w:style w:type="character" w:styleId="IntenseEmphasis">
    <w:name w:val="Intense Emphasis"/>
    <w:basedOn w:val="DefaultParagraphFont"/>
    <w:uiPriority w:val="21"/>
    <w:qFormat/>
    <w:rsid w:val="00f31490"/>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f31490"/>
    <w:rPr>
      <w:i/>
      <w:iCs/>
      <w:color w:themeColor="accent1" w:themeShade="bf" w:val="2F5496"/>
    </w:rPr>
  </w:style>
  <w:style w:type="character" w:styleId="IntenseReference">
    <w:name w:val="Intense Reference"/>
    <w:basedOn w:val="DefaultParagraphFont"/>
    <w:uiPriority w:val="32"/>
    <w:qFormat/>
    <w:rsid w:val="00f31490"/>
    <w:rPr>
      <w:b/>
      <w:bCs/>
      <w:smallCaps/>
      <w:color w:themeColor="accent1" w:themeShade="bf" w:val="2F5496"/>
      <w:spacing w:val="5"/>
    </w:rPr>
  </w:style>
  <w:style w:type="character" w:styleId="CorpotestoCarattere" w:customStyle="1">
    <w:name w:val="Corpo testo Carattere"/>
    <w:basedOn w:val="DefaultParagraphFont"/>
    <w:qFormat/>
    <w:rsid w:val="00f31490"/>
    <w:rPr>
      <w:rFonts w:ascii="Arial" w:hAnsi="Arial" w:eastAsia="Arial" w:cs="Arial"/>
      <w:color w:val="00000A"/>
      <w:kern w:val="2"/>
      <w:sz w:val="20"/>
      <w:szCs w:val="20"/>
      <w:lang w:eastAsia="it-IT" w:bidi="it-IT"/>
      <w14:ligatures w14:val="none"/>
    </w:rPr>
  </w:style>
  <w:style w:type="character" w:styleId="Strong">
    <w:name w:val="Strong"/>
    <w:qFormat/>
    <w:rPr>
      <w:b/>
      <w:bCs/>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rsid w:val="00f31490"/>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f3149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3149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f31490"/>
    <w:pPr>
      <w:spacing w:before="160" w:after="0"/>
      <w:jc w:val="center"/>
    </w:pPr>
    <w:rPr>
      <w:i/>
      <w:iCs/>
      <w:color w:themeColor="text1" w:themeTint="bf" w:val="404040"/>
    </w:rPr>
  </w:style>
  <w:style w:type="paragraph" w:styleId="ListParagraph">
    <w:name w:val="List Paragraph"/>
    <w:basedOn w:val="Normal"/>
    <w:uiPriority w:val="34"/>
    <w:qFormat/>
    <w:rsid w:val="00f31490"/>
    <w:pPr>
      <w:spacing w:before="0" w:after="0"/>
      <w:ind w:left="720"/>
      <w:contextualSpacing/>
    </w:pPr>
    <w:rPr/>
  </w:style>
  <w:style w:type="paragraph" w:styleId="IntenseQuote">
    <w:name w:val="Intense Quote"/>
    <w:basedOn w:val="Normal"/>
    <w:next w:val="Normal"/>
    <w:link w:val="CitazioneintensaCarattere"/>
    <w:uiPriority w:val="30"/>
    <w:qFormat/>
    <w:rsid w:val="00f31490"/>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Contenutocorniceuser" w:customStyle="1">
    <w:name w:val="Contenuto cornice (user)"/>
    <w:basedOn w:val="Normal"/>
    <w:qFormat/>
    <w:rsid w:val="00f3149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pac.bnnonline.it/SebinaOpac/.d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LibreOffice/24.8.5.2$Windows_X86_64 LibreOffice_project/fddf2685c70b461e7832239a0162a77216259f22</Application>
  <AppVersion>15.0000</AppVersion>
  <Pages>3</Pages>
  <Words>857</Words>
  <Characters>5240</Characters>
  <CharactersWithSpaces>6075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2025-02-20T11:09:00Z</dcterms:created>
  <dc:creator>Alessandra Antonia Iannuzzi</dc:creator>
  <dc:description/>
  <dc:language>it-IT</dc:language>
  <cp:lastModifiedBy/>
  <dcterms:modified xsi:type="dcterms:W3CDTF">2025-03-06T15:03:27Z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