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3002280</wp:posOffset>
            </wp:positionH>
            <wp:positionV relativeFrom="paragraph">
              <wp:posOffset>20955</wp:posOffset>
            </wp:positionV>
            <wp:extent cx="288925" cy="358140"/>
            <wp:effectExtent l="0" t="0" r="0" b="0"/>
            <wp:wrapNone/>
            <wp:docPr id="1" name="Imag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Contenutocorniceuser"/>
        <w:bidi w:val="0"/>
        <w:spacing w:lineRule="auto" w:line="240" w:before="0" w:after="0"/>
        <w:ind w:hanging="0" w:start="0" w:end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pacing w:val="16"/>
          <w:sz w:val="24"/>
          <w:szCs w:val="24"/>
        </w:rPr>
        <w:t>COMUNE</w:t>
      </w:r>
      <w:r>
        <w:rPr>
          <w:rFonts w:ascii="Calibri" w:hAnsi="Calibri"/>
          <w:b/>
          <w:spacing w:val="42"/>
          <w:sz w:val="24"/>
          <w:szCs w:val="24"/>
        </w:rPr>
        <w:t xml:space="preserve"> </w:t>
      </w:r>
      <w:r>
        <w:rPr>
          <w:rFonts w:ascii="Calibri" w:hAnsi="Calibri"/>
          <w:b/>
          <w:spacing w:val="10"/>
          <w:sz w:val="24"/>
          <w:szCs w:val="24"/>
        </w:rPr>
        <w:t>DI</w:t>
      </w:r>
      <w:r>
        <w:rPr>
          <w:rFonts w:ascii="Calibri" w:hAnsi="Calibri"/>
          <w:b/>
          <w:spacing w:val="42"/>
          <w:sz w:val="24"/>
          <w:szCs w:val="24"/>
        </w:rPr>
        <w:t xml:space="preserve"> </w:t>
      </w:r>
      <w:r>
        <w:rPr>
          <w:rFonts w:ascii="Calibri" w:hAnsi="Calibri"/>
          <w:b/>
          <w:spacing w:val="15"/>
          <w:sz w:val="24"/>
          <w:szCs w:val="24"/>
        </w:rPr>
        <w:t>MADDALONI</w:t>
      </w:r>
    </w:p>
    <w:p>
      <w:pPr>
        <w:pStyle w:val="Contenutocorniceuser"/>
        <w:bidi w:val="0"/>
        <w:spacing w:lineRule="auto" w:line="240" w:before="0" w:after="0"/>
        <w:ind w:hanging="0" w:start="0" w:end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Provincia</w:t>
      </w:r>
      <w:r>
        <w:rPr>
          <w:rFonts w:ascii="Calibri" w:hAnsi="Calibri"/>
          <w:b/>
          <w:spacing w:val="-3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di</w:t>
      </w:r>
      <w:r>
        <w:rPr>
          <w:rFonts w:ascii="Calibri" w:hAnsi="Calibri"/>
          <w:b/>
          <w:spacing w:val="-2"/>
          <w:sz w:val="24"/>
          <w:szCs w:val="24"/>
        </w:rPr>
        <w:t xml:space="preserve"> Caserta</w:t>
      </w:r>
    </w:p>
    <w:p>
      <w:pPr>
        <w:pStyle w:val="Contenutocorniceuser"/>
        <w:bidi w:val="0"/>
        <w:spacing w:lineRule="auto" w:line="240" w:before="0" w:after="0"/>
        <w:ind w:hanging="0" w:start="0" w:end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Via S. Francesco d’Assisi, n. 36</w:t>
      </w:r>
      <w:r>
        <w:rPr>
          <w:rFonts w:ascii="Calibri" w:hAnsi="Calibri"/>
          <w:b/>
          <w:spacing w:val="40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Cod.</w:t>
      </w:r>
      <w:r>
        <w:rPr>
          <w:rFonts w:ascii="Calibri" w:hAnsi="Calibri"/>
          <w:b/>
          <w:spacing w:val="-15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Fis.</w:t>
      </w:r>
      <w:r>
        <w:rPr>
          <w:rFonts w:ascii="Calibri" w:hAnsi="Calibri"/>
          <w:b/>
          <w:spacing w:val="-15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80004330611</w:t>
      </w:r>
      <w:r>
        <w:rPr>
          <w:rFonts w:ascii="Calibri" w:hAnsi="Calibri"/>
          <w:b/>
          <w:spacing w:val="-15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–</w:t>
      </w:r>
      <w:r>
        <w:rPr>
          <w:rFonts w:ascii="Calibri" w:hAnsi="Calibri"/>
          <w:b/>
          <w:spacing w:val="-15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P.I.</w:t>
      </w:r>
      <w:r>
        <w:rPr>
          <w:rFonts w:ascii="Calibri" w:hAnsi="Calibri"/>
          <w:b/>
          <w:spacing w:val="-15"/>
          <w:sz w:val="24"/>
          <w:szCs w:val="24"/>
        </w:rPr>
        <w:t xml:space="preserve"> </w:t>
      </w:r>
    </w:p>
    <w:p>
      <w:pPr>
        <w:pStyle w:val="Contenutocorniceuser"/>
        <w:bidi w:val="0"/>
        <w:spacing w:lineRule="auto" w:line="240" w:before="0" w:after="0"/>
        <w:ind w:hanging="0" w:start="0" w:end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Contenutocorniceuser"/>
        <w:bidi w:val="0"/>
        <w:spacing w:lineRule="auto" w:line="240" w:before="0" w:after="0"/>
        <w:ind w:hanging="0" w:start="0" w:end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Capitolato d’appalto ai fini della Trattativa Diretta sul Mepa per l’affidamento della fornitura di un palco modulare zincato per la realizzazione di eventi culturali e spettacoli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Art. 1. Ente appaltante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Comune di Maddaloni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Dirigente dott.ssa Antonella Ricciardi 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RUP dott.ssa Chiara Ruggiero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/>
      </w:pPr>
      <w:r>
        <w:rPr>
          <w:rFonts w:ascii="Calibri" w:hAnsi="Calibri"/>
          <w:sz w:val="24"/>
          <w:szCs w:val="24"/>
        </w:rPr>
        <w:t xml:space="preserve">pec: </w:t>
      </w:r>
      <w:hyperlink r:id="rId3">
        <w:r>
          <w:rPr>
            <w:rStyle w:val="Hyperlink"/>
            <w:rFonts w:ascii="Calibri" w:hAnsi="Calibri"/>
            <w:sz w:val="24"/>
            <w:szCs w:val="24"/>
          </w:rPr>
          <w:t>uff.biblio@pec.comune.maddaloni.ce.it</w:t>
        </w:r>
      </w:hyperlink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Art. 2. Procedura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Affidamento della fornitura mediante Trattativa Diretta sul MEPA, ai sensi dell’art. 50, comma 1, lett. b) del D. Lgs. n. 36/2023, per un importo di € 21.500,00 oltre IVA ;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Art. 3. Descrizione 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presente capitolato disciplina la fornitura, il trasporto e l’assistenza al montaggio di un palco modulare zincato di dimensioni complessive pari a m 12 x 10 (120 m²), da destinare alla realizzazione di eventi culturali e spettacoli organizzati dal Comune di Maddaloni. 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Art. 4 – Caratteristiche tecniche del palco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palco modulare oggetto della presente fornitura dovrà possedere le seguenti caratteristiche tecniche:</w:t>
      </w:r>
    </w:p>
    <w:p>
      <w:pPr>
        <w:pStyle w:val="BodyText"/>
        <w:numPr>
          <w:ilvl w:val="0"/>
          <w:numId w:val="6"/>
        </w:numPr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n.1 PALCO MODULARE ZINCATO in dimensioni m 12x10 (120 m²)</w:t>
      </w:r>
    </w:p>
    <w:p>
      <w:pPr>
        <w:pStyle w:val="BodyText"/>
        <w:numPr>
          <w:ilvl w:val="0"/>
          <w:numId w:val="6"/>
        </w:numPr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PARAPETTO su tre lati.</w:t>
      </w:r>
    </w:p>
    <w:p>
      <w:pPr>
        <w:pStyle w:val="BodyText"/>
        <w:numPr>
          <w:ilvl w:val="0"/>
          <w:numId w:val="6"/>
        </w:numPr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ALTEZZA REGOLABILE da min. cm 100 a max. cm 130.</w:t>
      </w:r>
    </w:p>
    <w:p>
      <w:pPr>
        <w:pStyle w:val="BodyText"/>
        <w:numPr>
          <w:ilvl w:val="0"/>
          <w:numId w:val="6"/>
        </w:numPr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N. 2 SCALA completa di corrimano applicabile in qualsiasi parte perimetrale del palco.</w:t>
      </w:r>
    </w:p>
    <w:p>
      <w:pPr>
        <w:pStyle w:val="BodyText"/>
        <w:numPr>
          <w:ilvl w:val="0"/>
          <w:numId w:val="6"/>
        </w:numPr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PANNELLO PAVIMENTO con inserimento ad incasso: Legno di Betulla TEX a 19 strati, ignifugo e antisdrucciolo ambo i lati colore marrone.</w:t>
      </w:r>
    </w:p>
    <w:p>
      <w:pPr>
        <w:pStyle w:val="BodyText"/>
        <w:numPr>
          <w:ilvl w:val="0"/>
          <w:numId w:val="6"/>
        </w:numPr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STRUTTURA ad incastro in tubolare zincato.</w:t>
      </w:r>
    </w:p>
    <w:p>
      <w:pPr>
        <w:pStyle w:val="BodyText"/>
        <w:numPr>
          <w:ilvl w:val="0"/>
          <w:numId w:val="6"/>
        </w:numPr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PILASTRI E SCALA PER PALCO 6x6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Art. 5 – Documentazione tecnica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corredo della fornitura dovranno essere consegnati i seguenti documenti: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Relazione di calcolo conforme a: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D.M. 17/01/2018 (norme tecniche sulle costruzioni NTC2018)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 EN 1991-1-1:2004 EUROCODICI 1 (azioni sulle strutture)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 EN 1993-1-10:2005 EUROCODICI 3 (Progettazione sulle strutture di acciaio)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 EN 1998-1:2005 EUROCODICI 8 (Progett. delle strutture per la resistenza sismica)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2) Piano di manutenzione palco;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3) Certificato di regolare 1° montaggio;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4)Dichiarazione di prestazione (DOP) conforme alla EN1090 (marcatura CE-requisito obbligatorio)</w:t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Heading3"/>
        <w:numPr>
          <w:ilvl w:val="0"/>
          <w:numId w:val="0"/>
        </w:numPr>
        <w:bidi w:val="0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Art. 6 – Certificazioni richieste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L’impresa fornitrice dovrà possedere e allegare copia delle seguenti certificazioni: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40" w:before="0" w:after="0"/>
        <w:ind w:hanging="283" w:start="709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 EN ISO 9001:2015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40" w:before="0" w:after="0"/>
        <w:ind w:hanging="283" w:start="709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 1090-1: Certificato di conformità per il controllo della produzione in fabbrica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lineRule="auto" w:line="240" w:before="0" w:after="0"/>
        <w:ind w:hanging="283" w:start="709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 EN 3834-3: Certificato sui processi di saldatura</w:t>
      </w:r>
    </w:p>
    <w:p>
      <w:pPr>
        <w:pStyle w:val="Heading3"/>
        <w:numPr>
          <w:ilvl w:val="0"/>
          <w:numId w:val="0"/>
        </w:numPr>
        <w:bidi w:val="0"/>
        <w:spacing w:lineRule="auto" w:line="240" w:before="0" w:after="0"/>
        <w:ind w:hanging="0" w:start="0" w:end="0"/>
        <w:jc w:val="both"/>
        <w:rPr>
          <w:rStyle w:val="Strong"/>
          <w:rFonts w:ascii="Calibri" w:hAnsi="Calibri"/>
          <w:b/>
          <w:bCs/>
          <w:sz w:val="24"/>
          <w:szCs w:val="24"/>
        </w:rPr>
      </w:pPr>
      <w:r>
        <w:rPr/>
      </w:r>
    </w:p>
    <w:p>
      <w:pPr>
        <w:pStyle w:val="Heading3"/>
        <w:numPr>
          <w:ilvl w:val="0"/>
          <w:numId w:val="1"/>
        </w:numPr>
        <w:bidi w:val="0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Art. 7 – Modalità di esecuzione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40" w:before="0" w:after="0"/>
        <w:ind w:hanging="283" w:start="709" w:end="0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 xml:space="preserve">Il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trasporto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è a carico della ditta aggiudicataria.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40" w:before="0" w:after="0"/>
        <w:ind w:hanging="283" w:start="709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L’assistenza al montaggio è a cura della ditta, che sarà coadiuvata da personale messo a disposizione dal Comune.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lineRule="auto" w:line="240" w:before="0" w:after="0"/>
        <w:ind w:hanging="283" w:start="709" w:end="0"/>
        <w:jc w:val="both"/>
        <w:rPr/>
      </w:pPr>
      <w:r>
        <w:rPr>
          <w:rFonts w:ascii="Calibri" w:hAnsi="Calibri"/>
          <w:sz w:val="24"/>
          <w:szCs w:val="24"/>
        </w:rPr>
        <w:t xml:space="preserve">La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consegna</w:t>
      </w:r>
      <w:r>
        <w:rPr>
          <w:rFonts w:ascii="Calibri" w:hAnsi="Calibri"/>
          <w:sz w:val="24"/>
          <w:szCs w:val="24"/>
        </w:rPr>
        <w:t xml:space="preserve"> avverrà entro 20gg dalla stipula del contratto, salvo diverso accordo tra le parti formalizzato per iscritto.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Art. 8 Garanzie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zincatura della struttura dovrà essere coperta da garanzia specifica di 10 anni.</w:t>
        <w:br/>
        <w:t>In ogni caso, tale garanzia non esonera l’impresa dalla responsabilità per eventuali difetti imputabili a difformità dai requisiti contrattuali.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Art. 9 Importo a base di </w:t>
      </w:r>
      <w:r>
        <w:rPr>
          <w:rFonts w:ascii="Calibri" w:hAnsi="Calibri"/>
          <w:b/>
          <w:bCs/>
          <w:spacing w:val="-4"/>
          <w:sz w:val="24"/>
          <w:szCs w:val="24"/>
        </w:rPr>
        <w:t>gara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L’importo complessivo, sul quale applicare il ribasso relativa</w:t>
      </w:r>
      <w:r>
        <w:rPr>
          <w:rFonts w:ascii="Calibri" w:hAnsi="Calibri"/>
          <w:sz w:val="24"/>
          <w:szCs w:val="24"/>
        </w:rPr>
        <w:t xml:space="preserve">o </w:t>
      </w:r>
      <w:r>
        <w:rPr>
          <w:rFonts w:ascii="Calibri" w:hAnsi="Calibri"/>
          <w:sz w:val="24"/>
          <w:szCs w:val="24"/>
        </w:rPr>
        <w:t xml:space="preserve">alla fornitura è pari ad euro € 21.500,00 oltre IVA; 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Art. 10 </w:t>
      </w:r>
      <w:r>
        <w:rPr>
          <w:rFonts w:ascii="Calibri" w:hAnsi="Calibri"/>
          <w:b/>
          <w:bCs/>
          <w:spacing w:val="-2"/>
          <w:sz w:val="24"/>
          <w:szCs w:val="24"/>
        </w:rPr>
        <w:t>Dichiarazione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L’operatore economico dovrà compilare l’allegata dichiarazione, sottoscritta dal legale rappresentante, redatta ai sensi dell’art. 46 e 47 del D.P.R. n. 445/2000, unitamente a copia di un documento di riconoscimento del sottoscrittore, in corso di validità, attestante: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19" w:leader="none"/>
        </w:tabs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Di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possedere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tutti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requisiti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ordine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generale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di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cui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di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cui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agli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artt.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94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e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ss.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del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D.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5"/>
          <w:sz w:val="24"/>
          <w:szCs w:val="24"/>
        </w:rPr>
        <w:t>Lgs.</w:t>
      </w:r>
      <w:r>
        <w:rPr>
          <w:rFonts w:ascii="Calibri" w:hAnsi="Calibri"/>
          <w:sz w:val="24"/>
          <w:szCs w:val="24"/>
        </w:rPr>
        <w:t>n.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36/2023;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21" w:leader="none"/>
        </w:tabs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non trovarsi in ogni caso in nessuna ipotesi di incapacità a contrattare con la Pubblica Amministrazione ai sensi della legge e di non aver avuto applicazione di alcuna sanzione o misura cautelare che impediscono di contrarre con la Pubblica </w:t>
      </w:r>
      <w:r>
        <w:rPr>
          <w:rFonts w:ascii="Calibri" w:hAnsi="Calibri"/>
          <w:spacing w:val="-2"/>
          <w:sz w:val="24"/>
          <w:szCs w:val="24"/>
        </w:rPr>
        <w:t>Amministrazione;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19" w:leader="none"/>
        </w:tabs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4"/>
          <w:sz w:val="24"/>
          <w:szCs w:val="24"/>
        </w:rPr>
        <w:t>Di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possedere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i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requisiti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di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ordine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speciale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(art.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100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c.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3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del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D.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Lgs.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n.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36/2023).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21" w:leader="none"/>
        </w:tabs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rispettare quanto disposto dall’articolo 3 della Legge n. 136/2010 ai fini della tracciabilità dei flussi finanziari relativi ai contratti pubblici e di dichiarare il conto corrente dedicato;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19" w:leader="none"/>
        </w:tabs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4"/>
          <w:sz w:val="24"/>
          <w:szCs w:val="24"/>
        </w:rPr>
        <w:t>Di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essere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in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possesso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di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D.U.R.C.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regolare;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4"/>
          <w:sz w:val="24"/>
          <w:szCs w:val="24"/>
        </w:rPr>
        <w:t>Di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avere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letto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e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compreso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i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contenuti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di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cui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al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Capitolato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4"/>
          <w:sz w:val="24"/>
          <w:szCs w:val="24"/>
        </w:rPr>
        <w:t>d’appalto;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Art. 10. Obblighi dell’operatore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/>
      </w:pPr>
      <w:r>
        <w:rPr>
          <w:rFonts w:ascii="Calibri" w:hAnsi="Calibri"/>
          <w:sz w:val="24"/>
          <w:szCs w:val="24"/>
        </w:rPr>
        <w:t>L'operatore svolgerà l’incarico nell'interesse del Comune, osservando tutte le indicazioni e richieste che l’Amministrazione stessa fornirà. Sono a carico dell’aggiudicatario tutte le spese e gli oneri necessari per l’espletamento dei lavori.</w:t>
      </w:r>
    </w:p>
    <w:p>
      <w:pPr>
        <w:pStyle w:val="BodyText"/>
        <w:jc w:val="both"/>
        <w:rPr>
          <w:rStyle w:val="Strong"/>
          <w:rFonts w:ascii="Calibri" w:hAnsi="Calibri"/>
          <w:sz w:val="24"/>
          <w:szCs w:val="24"/>
        </w:rPr>
      </w:pPr>
      <w:r>
        <w:rPr/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Art. 11. Modalità di presentazione delle offerte</w:t>
      </w:r>
    </w:p>
    <w:p>
      <w:pPr>
        <w:pStyle w:val="BodyText"/>
        <w:spacing w:lineRule="auto" w:line="240" w:before="0" w:after="0"/>
        <w:jc w:val="both"/>
        <w:rPr/>
      </w:pPr>
      <w:r>
        <w:rPr>
          <w:rFonts w:ascii="Calibri" w:hAnsi="Calibri"/>
          <w:sz w:val="24"/>
          <w:szCs w:val="24"/>
        </w:rPr>
        <w:t>L’operatore economico invitato dovrà presentare la propria offerta, con le modalità previste dalle Regole del sistema di e-procurement della pubblica amministrazione (MEPA) entro i termini ivi stabiliti, pena l’inaccettabilità dell’offerta stessa. Oltre il suddetto termine non è valida alcuna offerta, anche se sostitutiva o aggiuntiva a quella precedente. Inoltre, l’offerta presentata non può essere ritirata. Le offerte presentate hanno una validità di 180 giorni, naturali e consecutivi, decorrenti dalla data di scadenza del termine di presentazione.</w:t>
      </w:r>
    </w:p>
    <w:p>
      <w:pPr>
        <w:pStyle w:val="BodyText"/>
        <w:jc w:val="both"/>
        <w:rPr>
          <w:rStyle w:val="Strong"/>
          <w:rFonts w:ascii="Calibri" w:hAnsi="Calibri"/>
          <w:sz w:val="24"/>
          <w:szCs w:val="24"/>
        </w:rPr>
      </w:pPr>
      <w:r>
        <w:rPr/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Art. 12. Pagamento</w:t>
      </w:r>
    </w:p>
    <w:p>
      <w:pPr>
        <w:pStyle w:val="BodyText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pagamento della fattura dovuta alla ditta verrà effettuato successivamente al regolare espletamento dei lavori e, comunque, entro 30 giorni dalla presentazione di regolare fattura elettronica.</w:t>
      </w:r>
    </w:p>
    <w:p>
      <w:pPr>
        <w:pStyle w:val="BodyText"/>
        <w:spacing w:before="0" w:after="0"/>
        <w:jc w:val="both"/>
        <w:rPr>
          <w:rStyle w:val="Strong"/>
          <w:rFonts w:ascii="Calibri" w:hAnsi="Calibri"/>
          <w:sz w:val="24"/>
          <w:szCs w:val="24"/>
        </w:rPr>
      </w:pPr>
      <w:r>
        <w:rPr/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Art. 13. Tracciabilità dei flussi finanziari</w:t>
      </w:r>
    </w:p>
    <w:p>
      <w:pPr>
        <w:pStyle w:val="BodyText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ditta è tenuta ad assolvere a tutti gli obblighi previsti dall’art. 3 della L. n° 136/10 al fine di assicurare la tracciabilità dei movimenti finanziari relativi alla procedura. La ditta dovrà prevedere, altresì, l’utilizzo di un conto corrente bancario o postale sul quale dovranno transitare i movimenti finanziari effettuati esclusivamente con lo strumento del bonifico bancario o postale. Qualora l’appaltatore non assolva agli obblighi previsti dall’art. 3 della L. 136/10 per la tracciabilità dei movimenti finanziari relativi alla procedura, il contratto si risolve di diritto ai sensi del comma 8 del medesimo art. 3.</w:t>
      </w:r>
    </w:p>
    <w:p>
      <w:pPr>
        <w:pStyle w:val="BodyText"/>
        <w:spacing w:before="0" w:after="0"/>
        <w:jc w:val="both"/>
        <w:rPr>
          <w:rStyle w:val="Strong"/>
          <w:rFonts w:ascii="Calibri" w:hAnsi="Calibri"/>
          <w:sz w:val="24"/>
          <w:szCs w:val="24"/>
        </w:rPr>
      </w:pPr>
      <w:r>
        <w:rPr/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Art. 14. Stipula del contratto</w:t>
      </w:r>
    </w:p>
    <w:p>
      <w:pPr>
        <w:pStyle w:val="BodyText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contratto verrà stipulato tramite il documento di stipula generato dalla piattaforma di acquistinretepa e, comunque, ai sensi dell’art. 18, del D. Lgs. 36/2023 e verrà registrato solo in caso d’uso, ai sensi dell'art. 2, comma 1, tariffa parte 2°, del D.P.R. 26 aprile 1986, n. 131. Sono a carico dell’aggiudicatario tutte le imposte, le tasse e le spese relative e conseguenti al contratto, nessuna esclusa od eccettuata, comprese quelle per la sua eventuale registrazione.</w:t>
      </w:r>
    </w:p>
    <w:p>
      <w:pPr>
        <w:pStyle w:val="BodyText"/>
        <w:spacing w:before="0" w:after="0"/>
        <w:jc w:val="both"/>
        <w:rPr>
          <w:rStyle w:val="Strong"/>
          <w:rFonts w:ascii="Calibri" w:hAnsi="Calibri"/>
          <w:sz w:val="24"/>
          <w:szCs w:val="24"/>
        </w:rPr>
      </w:pPr>
      <w:r>
        <w:rPr/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Art. 15. Risoluzione del contratto</w:t>
      </w:r>
    </w:p>
    <w:p>
      <w:pPr>
        <w:pStyle w:val="BodyText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 darà luogo, a giudizio insindacabile dell’Amministrazione Comunale, alla risoluzione del contratto, a termini dell’art. 1456 del Codice Civile, così come per ragioni di forza maggiore anche conseguenti al mutare degli attuali presupposti giuridici e legislativi. Rimane salva l’azione per il risarcimento del maggior danno subito e ogni altra azione che il Comune ritenga opportuno intraprendere a tutela dei propri interessi.</w:t>
      </w:r>
    </w:p>
    <w:p>
      <w:pPr>
        <w:pStyle w:val="BodyText"/>
        <w:spacing w:before="0" w:after="0"/>
        <w:jc w:val="both"/>
        <w:rPr>
          <w:rStyle w:val="Strong"/>
          <w:rFonts w:ascii="Calibri" w:hAnsi="Calibri"/>
          <w:sz w:val="24"/>
          <w:szCs w:val="24"/>
        </w:rPr>
      </w:pPr>
      <w:r>
        <w:rPr/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Art. 1</w:t>
      </w:r>
      <w:r>
        <w:rPr>
          <w:rStyle w:val="Strong"/>
          <w:rFonts w:ascii="Calibri" w:hAnsi="Calibri"/>
          <w:sz w:val="24"/>
          <w:szCs w:val="24"/>
        </w:rPr>
        <w:t>6</w:t>
      </w:r>
      <w:r>
        <w:rPr>
          <w:rStyle w:val="Strong"/>
          <w:rFonts w:ascii="Calibri" w:hAnsi="Calibri"/>
          <w:sz w:val="24"/>
          <w:szCs w:val="24"/>
        </w:rPr>
        <w:t>. Divieto di subappalto</w:t>
      </w:r>
    </w:p>
    <w:p>
      <w:pPr>
        <w:pStyle w:val="BodyText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È fatto esplicito divieto alla ditta appaltatrice di cedere o subappaltare, in tutto o in parte, i lavori oggetto del presente capitolato.</w:t>
      </w:r>
    </w:p>
    <w:p>
      <w:pPr>
        <w:pStyle w:val="BodyText"/>
        <w:spacing w:before="0" w:after="0"/>
        <w:jc w:val="both"/>
        <w:rPr>
          <w:rStyle w:val="Strong"/>
          <w:rFonts w:ascii="Calibri" w:hAnsi="Calibri"/>
          <w:sz w:val="24"/>
          <w:szCs w:val="24"/>
        </w:rPr>
      </w:pPr>
      <w:r>
        <w:rPr/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Art. 1</w:t>
      </w:r>
      <w:r>
        <w:rPr>
          <w:rStyle w:val="Strong"/>
          <w:rFonts w:ascii="Calibri" w:hAnsi="Calibri"/>
          <w:sz w:val="24"/>
          <w:szCs w:val="24"/>
        </w:rPr>
        <w:t>7</w:t>
      </w:r>
      <w:r>
        <w:rPr>
          <w:rStyle w:val="Strong"/>
          <w:rFonts w:ascii="Calibri" w:hAnsi="Calibri"/>
          <w:sz w:val="24"/>
          <w:szCs w:val="24"/>
        </w:rPr>
        <w:t>. Osservanza di leggi e regolamenti</w:t>
      </w:r>
    </w:p>
    <w:p>
      <w:pPr>
        <w:pStyle w:val="BodyText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Oltre quanto è previsto e prescritto nelle presenti condizioni di contratto, nei rapporti di diritto tra impresa appaltatrice e Amministrazione comunale si osserveranno le disposizioni del Codice Civile e delle leggi e regolamenti specifici. L’impresa è tenuta, inoltre, all'osservanza di tutte le norme emanate ai sensi di legge o che venissero emanate dalle competenti Autorità governative, regionali, provinciali e comunali che hanno giurisdizione nei territori nei quali si svolgono, in qualsiasi modo, le attività e le operazioni inerenti e connesse al presente appalto.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b/>
          <w:bCs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Art. 1</w:t>
      </w:r>
      <w:r>
        <w:rPr>
          <w:rFonts w:ascii="Calibri" w:hAnsi="Calibri"/>
          <w:b/>
          <w:bCs/>
          <w:sz w:val="24"/>
          <w:szCs w:val="24"/>
        </w:rPr>
        <w:t>8</w:t>
      </w:r>
      <w:r>
        <w:rPr>
          <w:rFonts w:ascii="Calibri" w:hAnsi="Calibri"/>
          <w:b/>
          <w:bCs/>
          <w:sz w:val="24"/>
          <w:szCs w:val="24"/>
        </w:rPr>
        <w:t>– Trattamento dati personali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Ai sensi del Regolamento UE 2016/679 (GDPR), le parti si impegnano al rispetto della normativa vigente in materia di protezione dei dati personali, limitando il trattamento dei dati esclusivamente alle finalità connesse all’esecuzione del contratto.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Art. </w:t>
      </w:r>
      <w:r>
        <w:rPr>
          <w:rFonts w:ascii="Calibri" w:hAnsi="Calibri"/>
          <w:b/>
          <w:bCs/>
          <w:sz w:val="24"/>
          <w:szCs w:val="24"/>
        </w:rPr>
        <w:t>19</w:t>
      </w:r>
      <w:r>
        <w:rPr>
          <w:rFonts w:ascii="Calibri" w:hAnsi="Calibri"/>
          <w:b/>
          <w:bCs/>
          <w:sz w:val="24"/>
          <w:szCs w:val="24"/>
        </w:rPr>
        <w:t xml:space="preserve"> – Foro competente</w:t>
      </w:r>
    </w:p>
    <w:p>
      <w:pPr>
        <w:pStyle w:val="BodyText"/>
        <w:bidi w:val="0"/>
        <w:spacing w:lineRule="auto" w:line="240" w:before="0" w:after="0"/>
        <w:ind w:hanging="0" w:start="0" w:end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ogni controversia relativa all’interpretazione o esecuzione del presente contratto sarà competente in via esclusiva il Foro di Santa Maria Capua Vetere.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1" w:hanging="360"/>
      </w:pPr>
      <w:rPr>
        <w:sz w:val="24"/>
        <w:spacing w:val="0"/>
        <w:i w:val="false"/>
        <w:b/>
        <w:szCs w:val="24"/>
        <w:iCs w:val="false"/>
        <w:bCs/>
        <w:w w:val="95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2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3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4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4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5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6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36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17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qFormat/>
    <w:pPr>
      <w:ind w:start="31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3">
    <w:name w:val="heading 3"/>
    <w:basedOn w:val="Titolouser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Contenutocorniceuser">
    <w:name w:val="Contenuto cornice (user)"/>
    <w:basedOn w:val="Normal"/>
    <w:qFormat/>
    <w:pPr/>
    <w:rPr/>
  </w:style>
  <w:style w:type="paragraph" w:styleId="ListParagraph">
    <w:name w:val="List Paragraph"/>
    <w:basedOn w:val="Normal"/>
    <w:qFormat/>
    <w:pPr>
      <w:ind w:hanging="340" w:start="805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ff.biblio@pec.comune.maddaloni.ce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LibreOffice/24.8.5.2$Windows_X86_64 LibreOffice_project/fddf2685c70b461e7832239a0162a77216259f22</Application>
  <AppVersion>15.0000</AppVersion>
  <Pages>4</Pages>
  <Words>1217</Words>
  <Characters>6962</Characters>
  <CharactersWithSpaces>8093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2025-04-08T11:19:01Z</dcterms:created>
  <dc:creator/>
  <dc:description/>
  <dc:language>it-IT</dc:language>
  <cp:lastModifiedBy/>
  <dcterms:modified xsi:type="dcterms:W3CDTF">2025-04-08T12:13:12Z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