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8838"/>
      </w:tblGrid>
      <w:tr w:rsidR="00227EC0">
        <w:trPr>
          <w:trHeight w:hRule="exact" w:val="1667"/>
        </w:trPr>
        <w:tc>
          <w:tcPr>
            <w:tcW w:w="14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7EC0" w:rsidRDefault="00386D44">
            <w:pPr>
              <w:spacing w:before="14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02970" cy="101536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7EC0" w:rsidRDefault="00386D44">
            <w:pPr>
              <w:spacing w:line="204" w:lineRule="auto"/>
              <w:ind w:right="968"/>
              <w:jc w:val="right"/>
              <w:rPr>
                <w:rFonts w:ascii="Verdana" w:hAnsi="Verdana"/>
                <w:b/>
                <w:i/>
                <w:color w:val="000000"/>
                <w:spacing w:val="46"/>
                <w:w w:val="70"/>
                <w:sz w:val="62"/>
                <w:lang w:val="it-IT"/>
              </w:rPr>
            </w:pPr>
            <w:r>
              <w:rPr>
                <w:rFonts w:ascii="Verdana" w:hAnsi="Verdana"/>
                <w:b/>
                <w:i/>
                <w:color w:val="000000"/>
                <w:spacing w:val="46"/>
                <w:w w:val="70"/>
                <w:sz w:val="62"/>
                <w:lang w:val="it-IT"/>
              </w:rPr>
              <w:t xml:space="preserve">Comune di </w:t>
            </w:r>
            <w:proofErr w:type="spellStart"/>
            <w:r>
              <w:rPr>
                <w:rFonts w:ascii="Verdana" w:hAnsi="Verdana"/>
                <w:b/>
                <w:i/>
                <w:color w:val="000000"/>
                <w:spacing w:val="46"/>
                <w:w w:val="70"/>
                <w:sz w:val="62"/>
                <w:lang w:val="it-IT"/>
              </w:rPr>
              <w:t>Maddaioni</w:t>
            </w:r>
            <w:proofErr w:type="spellEnd"/>
          </w:p>
          <w:p w:rsidR="00227EC0" w:rsidRDefault="00386D44">
            <w:pPr>
              <w:spacing w:before="144" w:line="211" w:lineRule="auto"/>
              <w:ind w:left="3528"/>
              <w:rPr>
                <w:rFonts w:ascii="Arial" w:hAnsi="Arial"/>
                <w:i/>
                <w:color w:val="000000"/>
                <w:spacing w:val="-4"/>
                <w:sz w:val="19"/>
                <w:lang w:val="it-IT"/>
              </w:rPr>
            </w:pPr>
            <w:r>
              <w:rPr>
                <w:rFonts w:ascii="Arial" w:hAnsi="Arial"/>
                <w:i/>
                <w:color w:val="000000"/>
                <w:spacing w:val="-4"/>
                <w:sz w:val="19"/>
                <w:lang w:val="it-IT"/>
              </w:rPr>
              <w:t xml:space="preserve">PROVINCIA DI </w:t>
            </w:r>
            <w:r>
              <w:rPr>
                <w:rFonts w:ascii="Arial" w:hAnsi="Arial"/>
                <w:color w:val="000000"/>
                <w:spacing w:val="-4"/>
                <w:w w:val="90"/>
                <w:sz w:val="19"/>
                <w:lang w:val="it-IT"/>
              </w:rPr>
              <w:t>CASERTA</w:t>
            </w:r>
          </w:p>
          <w:p w:rsidR="00227EC0" w:rsidRDefault="00386D44">
            <w:pPr>
              <w:spacing w:before="252" w:line="268" w:lineRule="auto"/>
              <w:ind w:right="338"/>
              <w:jc w:val="right"/>
              <w:rPr>
                <w:rFonts w:ascii="Verdana" w:hAnsi="Verdana"/>
                <w:color w:val="000000"/>
                <w:spacing w:val="-1"/>
                <w:sz w:val="16"/>
                <w:lang w:val="it-IT"/>
              </w:rPr>
            </w:pPr>
            <w:r>
              <w:rPr>
                <w:rFonts w:ascii="Verdana" w:hAnsi="Verdana"/>
                <w:color w:val="000000"/>
                <w:spacing w:val="-1"/>
                <w:sz w:val="16"/>
                <w:lang w:val="it-IT"/>
              </w:rPr>
              <w:t>Via San Francesco d'Assisi,36 — C.A.P. 81024 Cod. Fisc.: 80004330611— Partita IVA:00136920618</w:t>
            </w:r>
          </w:p>
        </w:tc>
      </w:tr>
    </w:tbl>
    <w:p w:rsidR="00227EC0" w:rsidRDefault="00227EC0">
      <w:pPr>
        <w:spacing w:after="340" w:line="20" w:lineRule="exact"/>
      </w:pPr>
    </w:p>
    <w:p w:rsidR="00227EC0" w:rsidRDefault="00386D44">
      <w:pPr>
        <w:ind w:left="4248"/>
        <w:rPr>
          <w:rFonts w:ascii="Verdana" w:hAnsi="Verdana"/>
          <w:color w:val="000000"/>
          <w:spacing w:val="-6"/>
          <w:sz w:val="21"/>
          <w:lang w:val="it-IT"/>
        </w:rPr>
      </w:pPr>
      <w:r>
        <w:rPr>
          <w:rFonts w:ascii="Verdana" w:hAnsi="Verdana"/>
          <w:color w:val="000000"/>
          <w:spacing w:val="-6"/>
          <w:sz w:val="21"/>
          <w:lang w:val="it-IT"/>
        </w:rPr>
        <w:t>Area 4 Economico/Finanziaria</w:t>
      </w:r>
    </w:p>
    <w:p w:rsidR="00227EC0" w:rsidRDefault="00386D44">
      <w:pPr>
        <w:spacing w:before="216" w:line="206" w:lineRule="auto"/>
        <w:ind w:left="648"/>
        <w:rPr>
          <w:rFonts w:ascii="Tahoma" w:hAnsi="Tahoma"/>
          <w:b/>
          <w:color w:val="000000"/>
          <w:sz w:val="24"/>
          <w:lang w:val="it-IT"/>
        </w:rPr>
      </w:pPr>
      <w:r>
        <w:rPr>
          <w:rFonts w:ascii="Tahoma" w:hAnsi="Tahoma"/>
          <w:b/>
          <w:color w:val="000000"/>
          <w:sz w:val="24"/>
          <w:lang w:val="it-IT"/>
        </w:rPr>
        <w:t>"</w:t>
      </w:r>
      <w:proofErr w:type="spellStart"/>
      <w:r>
        <w:rPr>
          <w:rFonts w:ascii="Tahoma" w:hAnsi="Tahoma"/>
          <w:b/>
          <w:color w:val="000000"/>
          <w:sz w:val="24"/>
          <w:lang w:val="it-IT"/>
        </w:rPr>
        <w:t>Al</w:t>
      </w:r>
      <w:r w:rsidR="00836445">
        <w:rPr>
          <w:rFonts w:ascii="Tahoma" w:hAnsi="Tahoma"/>
          <w:b/>
          <w:color w:val="000000"/>
          <w:sz w:val="24"/>
          <w:lang w:val="it-IT"/>
        </w:rPr>
        <w:t>l</w:t>
      </w:r>
      <w:proofErr w:type="spellEnd"/>
      <w:r>
        <w:rPr>
          <w:rFonts w:ascii="Tahoma" w:hAnsi="Tahoma"/>
          <w:b/>
          <w:color w:val="000000"/>
          <w:sz w:val="24"/>
          <w:lang w:val="it-IT"/>
        </w:rPr>
        <w:t>. C"</w:t>
      </w:r>
    </w:p>
    <w:p w:rsidR="00227EC0" w:rsidRDefault="00386D44">
      <w:pPr>
        <w:spacing w:before="540" w:line="266" w:lineRule="auto"/>
        <w:ind w:left="3600"/>
        <w:rPr>
          <w:rFonts w:ascii="Tahoma" w:hAnsi="Tahoma"/>
          <w:b/>
          <w:color w:val="000000"/>
          <w:spacing w:val="1"/>
          <w:sz w:val="20"/>
          <w:lang w:val="it-IT"/>
        </w:rPr>
      </w:pPr>
      <w:r>
        <w:rPr>
          <w:rFonts w:ascii="Tahoma" w:hAnsi="Tahoma"/>
          <w:b/>
          <w:color w:val="000000"/>
          <w:spacing w:val="1"/>
          <w:sz w:val="20"/>
          <w:lang w:val="it-IT"/>
        </w:rPr>
        <w:t>Allegato al Bilancio di Previsione 202</w:t>
      </w:r>
      <w:r w:rsidR="00C771EB">
        <w:rPr>
          <w:rFonts w:ascii="Tahoma" w:hAnsi="Tahoma"/>
          <w:b/>
          <w:color w:val="000000"/>
          <w:spacing w:val="1"/>
          <w:sz w:val="20"/>
          <w:lang w:val="it-IT"/>
        </w:rPr>
        <w:t>6</w:t>
      </w:r>
      <w:r w:rsidR="00836445">
        <w:rPr>
          <w:rFonts w:ascii="Tahoma" w:hAnsi="Tahoma"/>
          <w:b/>
          <w:color w:val="000000"/>
          <w:spacing w:val="1"/>
          <w:sz w:val="20"/>
          <w:lang w:val="it-IT"/>
        </w:rPr>
        <w:t>/</w:t>
      </w:r>
      <w:r>
        <w:rPr>
          <w:rFonts w:ascii="Arial" w:hAnsi="Arial"/>
          <w:b/>
          <w:color w:val="000000"/>
          <w:spacing w:val="1"/>
          <w:sz w:val="6"/>
          <w:lang w:val="it-IT"/>
        </w:rPr>
        <w:t>-</w:t>
      </w:r>
      <w:r>
        <w:rPr>
          <w:rFonts w:ascii="Tahoma" w:hAnsi="Tahoma"/>
          <w:b/>
          <w:color w:val="000000"/>
          <w:spacing w:val="1"/>
          <w:sz w:val="20"/>
          <w:lang w:val="it-IT"/>
        </w:rPr>
        <w:t>202</w:t>
      </w:r>
      <w:r w:rsidR="00C771EB">
        <w:rPr>
          <w:rFonts w:ascii="Tahoma" w:hAnsi="Tahoma"/>
          <w:b/>
          <w:color w:val="000000"/>
          <w:spacing w:val="1"/>
          <w:sz w:val="20"/>
          <w:lang w:val="it-IT"/>
        </w:rPr>
        <w:t>8</w:t>
      </w:r>
    </w:p>
    <w:p w:rsidR="00227EC0" w:rsidRDefault="00386D44">
      <w:pPr>
        <w:spacing w:before="1512" w:line="292" w:lineRule="auto"/>
        <w:ind w:left="648" w:right="144"/>
        <w:rPr>
          <w:rFonts w:ascii="Verdana" w:hAnsi="Verdana"/>
          <w:color w:val="000000"/>
          <w:spacing w:val="-4"/>
          <w:sz w:val="21"/>
          <w:lang w:val="it-IT"/>
        </w:rPr>
      </w:pPr>
      <w:r>
        <w:rPr>
          <w:rFonts w:ascii="Verdana" w:hAnsi="Verdana"/>
          <w:color w:val="000000"/>
          <w:spacing w:val="-4"/>
          <w:sz w:val="21"/>
          <w:lang w:val="it-IT"/>
        </w:rPr>
        <w:t xml:space="preserve">Elenco indirizzi internet di cui al comma 1, lett. a) dell'art. 172 del </w:t>
      </w:r>
      <w:proofErr w:type="spellStart"/>
      <w:r>
        <w:rPr>
          <w:rFonts w:ascii="Verdana" w:hAnsi="Verdana"/>
          <w:color w:val="000000"/>
          <w:spacing w:val="-4"/>
          <w:sz w:val="21"/>
          <w:lang w:val="it-IT"/>
        </w:rPr>
        <w:t>D.Lgs</w:t>
      </w:r>
      <w:proofErr w:type="spellEnd"/>
      <w:r>
        <w:rPr>
          <w:rFonts w:ascii="Verdana" w:hAnsi="Verdana"/>
          <w:color w:val="000000"/>
          <w:spacing w:val="-4"/>
          <w:sz w:val="21"/>
          <w:lang w:val="it-IT"/>
        </w:rPr>
        <w:t xml:space="preserve"> 267 del 18 agosto </w:t>
      </w:r>
      <w:r>
        <w:rPr>
          <w:rFonts w:ascii="Verdana" w:hAnsi="Verdana"/>
          <w:color w:val="000000"/>
          <w:sz w:val="21"/>
          <w:lang w:val="it-IT"/>
        </w:rPr>
        <w:t>2000.</w:t>
      </w:r>
    </w:p>
    <w:p w:rsidR="00227EC0" w:rsidRDefault="00386D44">
      <w:pPr>
        <w:spacing w:before="936" w:line="300" w:lineRule="auto"/>
        <w:ind w:left="648"/>
        <w:jc w:val="both"/>
        <w:rPr>
          <w:rFonts w:ascii="Verdana" w:hAnsi="Verdana"/>
          <w:color w:val="000000"/>
          <w:sz w:val="21"/>
          <w:lang w:val="it-IT"/>
        </w:rPr>
      </w:pPr>
      <w:r>
        <w:rPr>
          <w:rFonts w:ascii="Verdana" w:hAnsi="Verdana"/>
          <w:color w:val="000000"/>
          <w:sz w:val="21"/>
          <w:lang w:val="it-IT"/>
        </w:rPr>
        <w:t xml:space="preserve">Ai sensi del comma 1 lett. a) dell'art. 172 del </w:t>
      </w:r>
      <w:proofErr w:type="spellStart"/>
      <w:r>
        <w:rPr>
          <w:rFonts w:ascii="Verdana" w:hAnsi="Verdana"/>
          <w:color w:val="000000"/>
          <w:sz w:val="21"/>
          <w:lang w:val="it-IT"/>
        </w:rPr>
        <w:t>D.Lgs.</w:t>
      </w:r>
      <w:proofErr w:type="spellEnd"/>
      <w:r>
        <w:rPr>
          <w:rFonts w:ascii="Verdana" w:hAnsi="Verdana"/>
          <w:color w:val="000000"/>
          <w:sz w:val="21"/>
          <w:lang w:val="it-IT"/>
        </w:rPr>
        <w:t xml:space="preserve"> 267/2000, al Rendiconto di gestione </w:t>
      </w:r>
      <w:r>
        <w:rPr>
          <w:rFonts w:ascii="Verdana" w:hAnsi="Verdana"/>
          <w:color w:val="000000"/>
          <w:spacing w:val="-3"/>
          <w:sz w:val="21"/>
          <w:lang w:val="it-IT"/>
        </w:rPr>
        <w:t xml:space="preserve">deve essere allegato " l'elenco degli indirizzi internet di pubblicazione del rendiconto della </w:t>
      </w:r>
      <w:r>
        <w:rPr>
          <w:rFonts w:ascii="Verdana" w:hAnsi="Verdana"/>
          <w:color w:val="000000"/>
          <w:spacing w:val="1"/>
          <w:sz w:val="21"/>
          <w:lang w:val="it-IT"/>
        </w:rPr>
        <w:t xml:space="preserve">gestione, del bilancio consolidato deliberati e relativi al penultimo esercizio antecedente </w:t>
      </w:r>
      <w:r>
        <w:rPr>
          <w:rFonts w:ascii="Verdana" w:hAnsi="Verdana"/>
          <w:color w:val="000000"/>
          <w:sz w:val="21"/>
          <w:lang w:val="it-IT"/>
        </w:rPr>
        <w:t xml:space="preserve">quello cui si riferisce il bilancio di previsione, dei rendiconti e dei bilanci consolidati delle </w:t>
      </w:r>
      <w:r>
        <w:rPr>
          <w:rFonts w:ascii="Verdana" w:hAnsi="Verdana"/>
          <w:color w:val="000000"/>
          <w:spacing w:val="-3"/>
          <w:sz w:val="21"/>
          <w:lang w:val="it-IT"/>
        </w:rPr>
        <w:t xml:space="preserve">unioni di comuni e dei soggetti considerati nel gruppo "amministrazione pubblica" di cui al </w:t>
      </w:r>
      <w:r>
        <w:rPr>
          <w:rFonts w:ascii="Verdana" w:hAnsi="Verdana"/>
          <w:color w:val="000000"/>
          <w:spacing w:val="1"/>
          <w:sz w:val="21"/>
          <w:lang w:val="it-IT"/>
        </w:rPr>
        <w:t xml:space="preserve">principio applicato del bilancio consolidato allegato al decreto legislativo 23 giugno 2011, </w:t>
      </w:r>
      <w:r>
        <w:rPr>
          <w:rFonts w:ascii="Verdana" w:hAnsi="Verdana"/>
          <w:color w:val="000000"/>
          <w:spacing w:val="-2"/>
          <w:sz w:val="21"/>
          <w:lang w:val="it-IT"/>
        </w:rPr>
        <w:t xml:space="preserve">n. 118, e successive modificazioni, relativi al penultimo esercizio antecedente quello cui il </w:t>
      </w:r>
      <w:r>
        <w:rPr>
          <w:rFonts w:ascii="Verdana" w:hAnsi="Verdana"/>
          <w:color w:val="000000"/>
          <w:sz w:val="21"/>
          <w:lang w:val="it-IT"/>
        </w:rPr>
        <w:t>bilancio si riferisce. Tali documenti contabili sono allegati al bilancio di previsione qualora non integralmente pubblicati nei siti internet indicati nell'elenco".</w:t>
      </w:r>
    </w:p>
    <w:p w:rsidR="00227EC0" w:rsidRDefault="002E6429">
      <w:pPr>
        <w:spacing w:before="1260" w:line="295" w:lineRule="auto"/>
        <w:ind w:left="648" w:right="720"/>
        <w:rPr>
          <w:rFonts w:ascii="Verdana" w:hAnsi="Verdana"/>
          <w:color w:val="000000"/>
          <w:spacing w:val="-6"/>
          <w:sz w:val="21"/>
          <w:lang w:val="it-IT"/>
        </w:rPr>
      </w:pPr>
      <w:hyperlink r:id="rId5" w:history="1">
        <w:r w:rsidR="00386D44" w:rsidRPr="00836445">
          <w:rPr>
            <w:rStyle w:val="Collegamentoipertestuale"/>
            <w:rFonts w:ascii="Verdana" w:hAnsi="Verdana"/>
            <w:spacing w:val="-6"/>
            <w:sz w:val="21"/>
            <w:lang w:val="it-IT"/>
          </w:rPr>
          <w:t xml:space="preserve">https://www.comune.maddaloni.casertait/Annministrazione-Trasparente-Post-22-08- </w:t>
        </w:r>
        <w:r w:rsidR="00386D44" w:rsidRPr="00836445">
          <w:rPr>
            <w:rStyle w:val="Collegamentoipertestuale"/>
            <w:rFonts w:ascii="Verdana" w:hAnsi="Verdana"/>
            <w:sz w:val="21"/>
            <w:lang w:val="it-IT"/>
          </w:rPr>
          <w:t>2023/Bilanci</w:t>
        </w:r>
      </w:hyperlink>
    </w:p>
    <w:p w:rsidR="00227EC0" w:rsidRDefault="002E6429">
      <w:pPr>
        <w:spacing w:before="324" w:line="300" w:lineRule="auto"/>
        <w:ind w:left="648" w:right="720"/>
        <w:rPr>
          <w:rFonts w:ascii="Verdana" w:hAnsi="Verdana"/>
          <w:color w:val="000000"/>
          <w:spacing w:val="-5"/>
          <w:sz w:val="21"/>
          <w:lang w:val="it-IT"/>
        </w:rPr>
      </w:pPr>
      <w:hyperlink r:id="rId6" w:history="1">
        <w:r w:rsidR="00386D44" w:rsidRPr="00836445">
          <w:rPr>
            <w:rStyle w:val="Collegamentoipertestuale"/>
            <w:rFonts w:ascii="Verdana" w:hAnsi="Verdana"/>
            <w:spacing w:val="-5"/>
            <w:sz w:val="21"/>
            <w:lang w:val="it-IT"/>
          </w:rPr>
          <w:t xml:space="preserve">https://www.comunamaddaloni.caserta.it/Amministrazione-Trasparente-Post-22-08- </w:t>
        </w:r>
        <w:r w:rsidR="00386D44" w:rsidRPr="00836445">
          <w:rPr>
            <w:rStyle w:val="Collegamentoipertestuale"/>
            <w:rFonts w:ascii="Verdana" w:hAnsi="Verdana"/>
            <w:sz w:val="21"/>
            <w:lang w:val="it-IT"/>
          </w:rPr>
          <w:t>2023/Bilanci/Bilancio-preventivo-e-consuntivo</w:t>
        </w:r>
      </w:hyperlink>
    </w:p>
    <w:p w:rsidR="00227EC0" w:rsidRDefault="002E6429">
      <w:pPr>
        <w:spacing w:before="288" w:line="271" w:lineRule="auto"/>
        <w:jc w:val="center"/>
        <w:rPr>
          <w:rFonts w:ascii="Verdana" w:hAnsi="Verdana"/>
          <w:color w:val="000000"/>
          <w:sz w:val="21"/>
          <w:lang w:val="it-IT"/>
        </w:rPr>
      </w:pPr>
      <w:hyperlink r:id="rId7" w:history="1">
        <w:r w:rsidR="00386D44" w:rsidRPr="00836445">
          <w:rPr>
            <w:rStyle w:val="Collegamentoipertestuale"/>
            <w:rFonts w:ascii="Verdana" w:hAnsi="Verdana"/>
            <w:sz w:val="21"/>
            <w:lang w:val="it-IT"/>
          </w:rPr>
          <w:t>https://bilancioaziende.com/interporto-sud-europa-societa-per-azioni-01871250617</w:t>
        </w:r>
      </w:hyperlink>
    </w:p>
    <w:sectPr w:rsidR="00227EC0">
      <w:pgSz w:w="11918" w:h="16854"/>
      <w:pgMar w:top="1120" w:right="770" w:bottom="2384" w:left="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0"/>
    <w:rsid w:val="00227EC0"/>
    <w:rsid w:val="002E6429"/>
    <w:rsid w:val="00386D44"/>
    <w:rsid w:val="00836445"/>
    <w:rsid w:val="00C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B971-2EC0-470B-8DA2-A4ED9929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64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hyperlink" Target="https://bilancioaziende.com/interporto-sud-europa-societa-per-azioni-01871250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amaddaloni.caserta.it/Amministrazione-Trasparente-Post-22-08-%202023/Bilanci/Bilancio-preventivo-e-consuntivo" TargetMode="External"/><Relationship Id="rId5" Type="http://schemas.openxmlformats.org/officeDocument/2006/relationships/hyperlink" Target="https://www.comune.maddaloni.casertait/Annministrazione-Trasparente-Post-22-08-%202023/Bilanc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Delle Cave</dc:creator>
  <cp:lastModifiedBy>Michele Delle Cave</cp:lastModifiedBy>
  <cp:revision>2</cp:revision>
  <cp:lastPrinted>2026-02-27T10:55:00Z</cp:lastPrinted>
  <dcterms:created xsi:type="dcterms:W3CDTF">2026-02-27T10:57:00Z</dcterms:created>
  <dcterms:modified xsi:type="dcterms:W3CDTF">2026-02-27T10:57:00Z</dcterms:modified>
</cp:coreProperties>
</file>