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60"/>
        <w:jc w:val="center"/>
        <w:rPr/>
      </w:pPr>
      <w:r>
        <w:rPr>
          <w:rFonts w:eastAsia="Arial" w:cs="Arial"/>
          <w:b/>
          <w:bCs/>
          <w:color w:val="1F3864"/>
          <w:sz w:val="40"/>
          <w:szCs w:val="40"/>
        </w:rPr>
        <w:t>A V V I S O</w:t>
      </w:r>
    </w:p>
    <w:p>
      <w:pPr>
        <w:pStyle w:val="Normal"/>
        <w:spacing w:before="0" w:after="40"/>
        <w:jc w:val="center"/>
        <w:rPr/>
      </w:pPr>
      <w:r>
        <w:rPr>
          <w:rFonts w:eastAsia="Arial" w:cs="Arial"/>
          <w:b/>
          <w:bCs/>
          <w:sz w:val="24"/>
          <w:szCs w:val="24"/>
        </w:rPr>
        <w:t>SERVIZIO DI REFEZIONE SCOLASTICA – ANNO SCOLASTICO 2026/2027</w:t>
      </w:r>
    </w:p>
    <w:p>
      <w:pPr>
        <w:pStyle w:val="Normal"/>
        <w:pBdr>
          <w:bottom w:val="single" w:sz="10" w:space="8" w:color="2E5C8A"/>
        </w:pBdr>
        <w:spacing w:before="0" w:after="260"/>
        <w:jc w:val="center"/>
        <w:rPr/>
      </w:pPr>
      <w:r>
        <w:rPr>
          <w:rFonts w:eastAsia="Arial" w:cs="Arial"/>
          <w:b/>
          <w:bCs/>
          <w:color w:val="2E5C8A"/>
          <w:sz w:val="22"/>
          <w:szCs w:val="22"/>
        </w:rPr>
        <w:t>Apertura iscrizioni online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>Si rende noto che, per l’anno scolastico 2026/2027, sarà attivo il Servizio di Mensa Scolastica per gli alunni della scuola dell’infanzia e della scuola primaria di primo grado.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 xml:space="preserve">Si ricorda ai genitori che, per usufruire del Servizio Mensa Scolastica, è richiesta obbligatoriamente l’iscrizione online sul sito </w:t>
      </w:r>
      <w:hyperlink r:id="rId2">
        <w:r>
          <w:rPr>
            <w:rStyle w:val="Hyperlink"/>
            <w:rFonts w:eastAsia="Arial" w:cs="Arial"/>
          </w:rPr>
          <w:t>www3.eticasoluzioni.com/maddaloniportalegen</w:t>
        </w:r>
      </w:hyperlink>
      <w:r>
        <w:rPr>
          <w:rFonts w:eastAsia="Arial" w:cs="Arial"/>
        </w:rPr>
        <w:t>. In alternativa, è possibile accedere al link direttamente dalla Home Page del sito web del Comune di Maddaloni (</w:t>
      </w:r>
      <w:hyperlink r:id="rId3">
        <w:r>
          <w:rPr>
            <w:rStyle w:val="Hyperlink"/>
            <w:rFonts w:eastAsia="Arial" w:cs="Arial"/>
          </w:rPr>
          <w:t>www.comune.maddaloni.caserta.it</w:t>
        </w:r>
      </w:hyperlink>
      <w:r>
        <w:rPr>
          <w:rFonts w:eastAsia="Arial" w:cs="Arial"/>
        </w:rPr>
        <w:t>), nella sezione “Portale Genitori – Refezione Scolastica” in calce alla pagina.</w:t>
      </w:r>
    </w:p>
    <w:p>
      <w:pPr>
        <w:pStyle w:val="Normal"/>
        <w:spacing w:lineRule="auto" w:line="300" w:before="0" w:after="80"/>
        <w:jc w:val="both"/>
        <w:rPr/>
      </w:pPr>
      <w:r>
        <w:rPr>
          <w:rFonts w:eastAsia="Arial" w:cs="Arial"/>
        </w:rPr>
        <w:t>Il sistema prevede due tipologie di iscrizione online:</w:t>
      </w:r>
    </w:p>
    <w:p>
      <w:pPr>
        <w:pStyle w:val="ListParagraph"/>
        <w:numPr>
          <w:ilvl w:val="0"/>
          <w:numId w:val="4"/>
        </w:numPr>
        <w:spacing w:lineRule="auto" w:line="276" w:before="0" w:after="70"/>
        <w:jc w:val="both"/>
        <w:rPr/>
      </w:pPr>
      <w:r>
        <w:rPr>
          <w:rFonts w:eastAsia="Arial" w:cs="Arial"/>
          <w:b/>
          <w:bCs/>
        </w:rPr>
        <w:t>Nuove iscrizioni</w:t>
      </w:r>
      <w:r>
        <w:rPr>
          <w:rFonts w:eastAsia="Arial" w:cs="Arial"/>
        </w:rPr>
        <w:t>, per gli utenti non presenti nell’anagrafica del Portale;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  <w:b/>
          <w:bCs/>
        </w:rPr>
        <w:t>Rinnovi</w:t>
      </w:r>
      <w:r>
        <w:rPr>
          <w:rFonts w:eastAsia="Arial" w:cs="Arial"/>
        </w:rPr>
        <w:t>, per gli utenti già registrati.</w:t>
      </w:r>
    </w:p>
    <w:p>
      <w:pPr>
        <w:pStyle w:val="Normal"/>
        <w:spacing w:before="100" w:after="100"/>
        <w:rPr/>
      </w:pPr>
      <w:r>
        <w:rPr/>
      </w:r>
    </w:p>
    <w:tbl>
      <w:tblPr>
        <w:tblW w:w="9638" w:type="dxa"/>
        <w:jc w:val="start"/>
        <w:tblInd w:w="0" w:type="dxa"/>
        <w:tblLayout w:type="fixed"/>
        <w:tblCellMar>
          <w:top w:w="160" w:type="dxa"/>
          <w:start w:w="220" w:type="dxa"/>
          <w:bottom w:w="160" w:type="dxa"/>
          <w:end w:w="220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6" w:space="0" w:color="2E5C8A"/>
              <w:start w:val="single" w:sz="6" w:space="0" w:color="2E5C8A"/>
              <w:bottom w:val="single" w:sz="6" w:space="0" w:color="2E5C8A"/>
              <w:end w:val="single" w:sz="6" w:space="0" w:color="2E5C8A"/>
            </w:tcBorders>
            <w:shd w:fill="EAF1F8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color w:val="1F3864"/>
              </w:rPr>
              <w:t xml:space="preserve">Il portale sarà attivo per nuove iscrizioni e rinnovi dal </w:t>
            </w:r>
            <w:r>
              <w:rPr>
                <w:rFonts w:eastAsia="Arial" w:cs="Arial"/>
                <w:b/>
                <w:bCs/>
                <w:color w:val="1F3864"/>
              </w:rPr>
              <w:t>22/06/2026</w:t>
            </w:r>
            <w:r>
              <w:rPr>
                <w:rFonts w:eastAsia="Arial" w:cs="Arial"/>
                <w:color w:val="1F3864"/>
              </w:rPr>
              <w:t xml:space="preserve"> al </w:t>
            </w:r>
            <w:r>
              <w:rPr>
                <w:rFonts w:eastAsia="Arial" w:cs="Arial"/>
                <w:b/>
                <w:bCs/>
                <w:color w:val="1F3864"/>
              </w:rPr>
              <w:t>20/09/2026</w:t>
            </w:r>
          </w:p>
        </w:tc>
      </w:tr>
    </w:tbl>
    <w:p>
      <w:pPr>
        <w:pStyle w:val="Normal"/>
        <w:spacing w:before="100" w:after="0"/>
        <w:rPr/>
      </w:pPr>
      <w:r>
        <w:rPr/>
      </w:r>
    </w:p>
    <w:p>
      <w:pPr>
        <w:pStyle w:val="Heading2"/>
        <w:pBdr>
          <w:bottom w:val="single" w:sz="6" w:space="2" w:color="2E5C8A"/>
        </w:pBdr>
        <w:spacing w:before="260" w:after="120"/>
        <w:rPr/>
      </w:pPr>
      <w:r>
        <w:rPr>
          <w:rFonts w:eastAsia="Arial" w:cs="Arial"/>
          <w:b/>
          <w:bCs/>
          <w:color w:val="1F3864"/>
          <w:sz w:val="24"/>
          <w:szCs w:val="24"/>
        </w:rPr>
        <w:t>DOCUMENTAZIONE NECESSARIA</w:t>
      </w:r>
    </w:p>
    <w:p>
      <w:pPr>
        <w:pStyle w:val="Normal"/>
        <w:spacing w:lineRule="auto" w:line="300" w:before="0" w:after="100"/>
        <w:jc w:val="both"/>
        <w:rPr/>
      </w:pPr>
      <w:r>
        <w:rPr>
          <w:rFonts w:eastAsia="Arial" w:cs="Arial"/>
        </w:rPr>
        <w:t>Al momento dell’iscrizione è necessario avere a disposizione la seguente documentazione e le seguenti informazioni: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</w:rPr>
        <w:t>carta d’identità del genitore/esercente la potestà genitoriale che presenta la domanda online;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</w:rPr>
        <w:t>codice fiscale o carta d’identità del minore per il quale si richiede l’iscrizione;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</w:rPr>
        <w:t>attestazione ISEE (ordinario, non corrente) con scadenza 31/12/2026 — non occorre per coloro che pagano la quota massima prevista alla fascia 6;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</w:rPr>
        <w:t>autocertificazione di sostentamento in caso di ISEE pari a 0;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</w:rPr>
        <w:t>certificato medico, in caso di allergie e intolleranze alimentari;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</w:rPr>
        <w:t>indirizzo di posta elettronica;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</w:rPr>
        <w:t>numero di telefono cellulare.</w:t>
      </w:r>
    </w:p>
    <w:p>
      <w:pPr>
        <w:pStyle w:val="Heading2"/>
        <w:pBdr>
          <w:bottom w:val="single" w:sz="6" w:space="2" w:color="2E5C8A"/>
        </w:pBdr>
        <w:spacing w:before="260" w:after="120"/>
        <w:rPr/>
      </w:pPr>
      <w:r>
        <w:rPr>
          <w:rFonts w:eastAsia="Arial" w:cs="Arial"/>
          <w:b/>
          <w:bCs/>
          <w:color w:val="1F3864"/>
          <w:sz w:val="24"/>
          <w:szCs w:val="24"/>
        </w:rPr>
        <w:t>MODALITÀ DI PAGAMENTO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>I nuovi iscritti dovranno effettuare una ricarica corrispondente a n. 10 pasti. Per i rinnovi occorre sanare eventuali debiti residui e, comunque, garantire una ricarica corrispondente a n. 10 pasti.</w:t>
      </w:r>
    </w:p>
    <w:p>
      <w:pPr>
        <w:pStyle w:val="Normal"/>
        <w:spacing w:lineRule="auto" w:line="300" w:before="0" w:after="200"/>
        <w:jc w:val="both"/>
        <w:rPr/>
      </w:pPr>
      <w:r>
        <w:rPr>
          <w:rFonts w:eastAsia="Arial" w:cs="Arial"/>
        </w:rPr>
        <w:t>Il calcolo della ricarica dovrà essere riferito alle tariffe riportate nella tabella seguente, dove sono indicati i costi unitari per singolo pasto:</w:t>
      </w:r>
    </w:p>
    <w:tbl>
      <w:tblPr>
        <w:tblW w:w="9638" w:type="dxa"/>
        <w:jc w:val="start"/>
        <w:tblInd w:w="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900"/>
        <w:gridCol w:w="4200"/>
        <w:gridCol w:w="2269"/>
        <w:gridCol w:w="2269"/>
      </w:tblGrid>
      <w:tr>
        <w:trPr>
          <w:tblHeader w:val="true"/>
        </w:trPr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Fascia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Reddito ISEE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1° figlio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2° figlio e succ.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1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Da € 0 a € 4.000,00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1,60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1,20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2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Da € 4.000,01 a € 8.000,00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2,40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2,00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3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Da € 8.000,01 a € 12.000,00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2,80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2,40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4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Da € 12.000,01 a € 16.000,00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3,60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2,80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5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Da € 16.000,01 a € 20.000,00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4,00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3,60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6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Oltre € 20.000,01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4,40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4,00</w:t>
            </w:r>
          </w:p>
        </w:tc>
      </w:tr>
    </w:tbl>
    <w:p>
      <w:pPr>
        <w:pStyle w:val="Normal"/>
        <w:spacing w:lineRule="auto" w:line="300" w:before="160" w:after="160"/>
        <w:jc w:val="both"/>
        <w:rPr/>
      </w:pPr>
      <w:r>
        <w:rPr>
          <w:rFonts w:eastAsia="Arial" w:cs="Arial"/>
        </w:rPr>
        <w:t xml:space="preserve">Il pagamento dovrà essere effettuato esclusivamente tramite la </w:t>
      </w:r>
      <w:r>
        <w:rPr>
          <w:rFonts w:eastAsia="Arial" w:cs="Arial"/>
          <w:b/>
          <w:bCs/>
        </w:rPr>
        <w:t>piattaforma PagoPA</w:t>
      </w:r>
      <w:r>
        <w:rPr>
          <w:rFonts w:eastAsia="Arial" w:cs="Arial"/>
        </w:rPr>
        <w:t xml:space="preserve">, accedendo all’area web dedicata sul </w:t>
      </w:r>
      <w:r>
        <w:rPr>
          <w:rFonts w:eastAsia="Arial" w:cs="Arial"/>
          <w:b/>
          <w:bCs/>
        </w:rPr>
        <w:t>Portale Genitori</w:t>
      </w:r>
      <w:r>
        <w:rPr>
          <w:rFonts w:eastAsia="Arial" w:cs="Arial"/>
        </w:rPr>
        <w:t xml:space="preserve"> (sezione Pagamenti) oppure attraverso l’app </w:t>
      </w:r>
      <w:r>
        <w:rPr>
          <w:rFonts w:eastAsia="Arial" w:cs="Arial"/>
          <w:i/>
          <w:iCs/>
        </w:rPr>
        <w:t>“ComunicApp”</w:t>
      </w:r>
      <w:r>
        <w:rPr>
          <w:rFonts w:eastAsia="Arial" w:cs="Arial"/>
        </w:rPr>
        <w:t>, scaricabile gratuitamente da Play Store per i dispositivi Android e da App Store per i dispositivi iOS.</w:t>
      </w:r>
    </w:p>
    <w:p>
      <w:pPr>
        <w:pStyle w:val="Heading2"/>
        <w:pBdr>
          <w:bottom w:val="single" w:sz="6" w:space="2" w:color="2E5C8A"/>
        </w:pBdr>
        <w:spacing w:before="260" w:after="120"/>
        <w:rPr/>
      </w:pPr>
      <w:r>
        <w:rPr>
          <w:rFonts w:eastAsia="Arial" w:cs="Arial"/>
          <w:b/>
          <w:bCs/>
          <w:color w:val="1F3864"/>
          <w:sz w:val="24"/>
          <w:szCs w:val="24"/>
        </w:rPr>
        <w:t>IMPORTANTE</w:t>
      </w:r>
    </w:p>
    <w:tbl>
      <w:tblPr>
        <w:tblW w:w="9638" w:type="dxa"/>
        <w:jc w:val="start"/>
        <w:tblInd w:w="0" w:type="dxa"/>
        <w:tblLayout w:type="fixed"/>
        <w:tblCellMar>
          <w:top w:w="160" w:type="dxa"/>
          <w:start w:w="220" w:type="dxa"/>
          <w:bottom w:w="160" w:type="dxa"/>
          <w:end w:w="220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6" w:space="0" w:color="C9883A"/>
              <w:start w:val="single" w:sz="6" w:space="0" w:color="C9883A"/>
              <w:bottom w:val="single" w:sz="6" w:space="0" w:color="C9883A"/>
              <w:end w:val="single" w:sz="6" w:space="0" w:color="C9883A"/>
            </w:tcBorders>
            <w:shd w:fill="FCEFD9" w:val="clear"/>
          </w:tcPr>
          <w:p>
            <w:pPr>
              <w:pStyle w:val="Normal"/>
              <w:spacing w:lineRule="auto" w:line="290" w:before="0" w:after="80"/>
              <w:rPr/>
            </w:pPr>
            <w:r>
              <w:rPr>
                <w:rFonts w:eastAsia="Arial" w:cs="Arial"/>
                <w:color w:val="7A4A12"/>
              </w:rPr>
              <w:t>La piattaforma consente di usufruire del Servizio Mensa soltanto in presenza di un credito positivo.</w:t>
            </w:r>
          </w:p>
          <w:p>
            <w:pPr>
              <w:pStyle w:val="Normal"/>
              <w:spacing w:lineRule="auto" w:line="290" w:before="0" w:after="0"/>
              <w:rPr/>
            </w:pPr>
            <w:r>
              <w:rPr>
                <w:rFonts w:eastAsia="Arial" w:cs="Arial"/>
                <w:b/>
                <w:bCs/>
                <w:color w:val="7A4A12"/>
              </w:rPr>
              <w:t>Raggiunta la soglia sotto lo zero, il pasto NON sarà garantito.</w:t>
            </w:r>
          </w:p>
        </w:tc>
      </w:tr>
    </w:tbl>
    <w:p>
      <w:pPr>
        <w:pStyle w:val="Normal"/>
        <w:spacing w:before="100" w:after="0"/>
        <w:rPr/>
      </w:pPr>
      <w:r>
        <w:rPr/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 xml:space="preserve">Si raccomanda, pertanto, ai genitori e agli esercenti la potestà genitoriale </w:t>
      </w:r>
      <w:r>
        <w:rPr>
          <w:rFonts w:eastAsia="Arial" w:cs="Arial"/>
          <w:b/>
          <w:bCs/>
        </w:rPr>
        <w:t>di controllare periodicamente lo stato dei pagamenti e di provvedere per tempo alle ricariche.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>In qualsiasi momento è possibile verificare il credito residuo, sia attraverso la piattaforma Etica Soluzioni che tramite l’app ComunicApp.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>Si fa presente, inoltre, che la disdetta del pasto può essere effettuata nei giorni precedenti e, comunque, non oltre le ore 08:30 del giorno di assenza. Trascorso tale orario, la disdetta non è più possibile e la presenza verrà calcolata automaticamente, con conseguente preparazione del pasto e addebito del relativo costo.</w:t>
      </w:r>
    </w:p>
    <w:p>
      <w:pPr>
        <w:pStyle w:val="Heading2"/>
        <w:pBdr>
          <w:bottom w:val="single" w:sz="6" w:space="2" w:color="2E5C8A"/>
        </w:pBdr>
        <w:spacing w:before="260" w:after="120"/>
        <w:rPr/>
      </w:pPr>
      <w:r>
        <w:rPr>
          <w:rFonts w:eastAsia="Arial" w:cs="Arial"/>
          <w:b/>
          <w:bCs/>
          <w:color w:val="1F3864"/>
          <w:sz w:val="24"/>
          <w:szCs w:val="24"/>
        </w:rPr>
        <w:t>SETTORE E UFFICIO COMPETENTE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>Chi non disponga né di uno smartphone né di un computer potrà rivolgersi, previo appuntamento, all’apposito personale per la stampa dell’avviso di pagamento PagoPA, pagabile a propria scelta presso gli uffici postali, le ricevitorie Lottomatica, Sisal o gli sportelli ATM.</w:t>
      </w:r>
    </w:p>
    <w:p>
      <w:pPr>
        <w:pStyle w:val="Normal"/>
        <w:rPr/>
      </w:pPr>
      <w:r>
        <w:rPr>
          <w:rFonts w:eastAsia="Arial" w:cs="Arial"/>
        </w:rPr>
        <w:t>Per qualsiasi informazione, l’</w:t>
      </w:r>
      <w:r>
        <w:rPr>
          <w:rFonts w:eastAsia="Arial" w:cs="Arial"/>
          <w:b/>
          <w:bCs/>
        </w:rPr>
        <w:t>Ufficio Pubblica Istruzione</w:t>
      </w:r>
      <w:r>
        <w:rPr>
          <w:rFonts w:eastAsia="Arial" w:cs="Arial"/>
        </w:rPr>
        <w:t xml:space="preserve">, sede Servizi Sociali (via </w:t>
      </w:r>
      <w:r>
        <w:rPr>
          <w:rFonts w:eastAsia="Arial" w:cs="Arial"/>
        </w:rPr>
        <w:t xml:space="preserve">Caudina </w:t>
      </w:r>
      <w:r>
        <w:rPr>
          <w:rFonts w:eastAsia="Arial" w:cs="Arial"/>
        </w:rPr>
        <w:t>n. 325</w:t>
      </w:r>
      <w:r>
        <w:rPr>
          <w:rFonts w:eastAsia="Arial" w:cs="Arial"/>
        </w:rPr>
        <w:t>, edificio Palazzo Giudice di Pace 1° pian</w:t>
      </w:r>
      <w:r>
        <w:rPr>
          <w:rFonts w:eastAsia="Arial" w:cs="Arial"/>
        </w:rPr>
        <w:t>o</w:t>
      </w:r>
      <w:r>
        <w:rPr>
          <w:rFonts w:eastAsia="Arial" w:cs="Arial"/>
        </w:rPr>
        <w:t xml:space="preserve">), è aperto al pubblico nei giorni </w:t>
      </w:r>
      <w:r>
        <w:rPr>
          <w:rFonts w:eastAsia="Arial" w:cs="Arial"/>
          <w:b/>
          <w:bCs/>
        </w:rPr>
        <w:t>martedì e giovedì</w:t>
      </w:r>
      <w:r>
        <w:rPr>
          <w:rFonts w:eastAsia="Arial" w:cs="Arial"/>
        </w:rPr>
        <w:t xml:space="preserve"> dalle ore 09:00 alle ore 12:00 e dalle ore 15:30 alle ore 17:30.</w:t>
      </w:r>
    </w:p>
    <w:p>
      <w:pPr>
        <w:pStyle w:val="Normal"/>
        <w:spacing w:lineRule="auto" w:line="300" w:before="0" w:after="220"/>
        <w:jc w:val="both"/>
        <w:rPr/>
      </w:pPr>
      <w:r>
        <w:rPr>
          <w:rFonts w:eastAsia="Arial" w:cs="Arial"/>
        </w:rPr>
        <w:t xml:space="preserve">Recapito telefonico: </w:t>
      </w:r>
      <w:r>
        <w:rPr>
          <w:rFonts w:eastAsia="Arial" w:cs="Arial"/>
          <w:b/>
          <w:bCs/>
        </w:rPr>
        <w:t>0823 433663 / 433661</w:t>
      </w:r>
    </w:p>
    <w:p>
      <w:pPr>
        <w:pStyle w:val="Heading2"/>
        <w:pBdr>
          <w:bottom w:val="single" w:sz="6" w:space="2" w:color="2E5C8A"/>
        </w:pBdr>
        <w:spacing w:before="260" w:after="120"/>
        <w:rPr/>
      </w:pPr>
      <w:r>
        <w:rPr>
          <w:rFonts w:eastAsia="Arial" w:cs="Arial"/>
          <w:b/>
          <w:bCs/>
          <w:color w:val="1F3864"/>
          <w:sz w:val="24"/>
          <w:szCs w:val="24"/>
        </w:rPr>
        <w:t>ALLEGATI</w:t>
      </w:r>
    </w:p>
    <w:p>
      <w:pPr>
        <w:pStyle w:val="Normal"/>
        <w:spacing w:lineRule="auto" w:line="300" w:before="0" w:after="100"/>
        <w:jc w:val="both"/>
        <w:rPr/>
      </w:pPr>
      <w:r>
        <w:rPr>
          <w:rFonts w:eastAsia="Arial" w:cs="Arial"/>
        </w:rPr>
        <w:t>Si allegano le guide per effettuare: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</w:rPr>
        <w:t>l’iscrizione;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</w:rPr>
        <w:t>il pagamento;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</w:rPr>
        <w:t>la disdetta;</w:t>
      </w:r>
    </w:p>
    <w:p>
      <w:pPr>
        <w:pStyle w:val="ListParagraph"/>
        <w:numPr>
          <w:ilvl w:val="0"/>
          <w:numId w:val="2"/>
        </w:numPr>
        <w:spacing w:lineRule="auto" w:line="276" w:before="0" w:after="70"/>
        <w:jc w:val="both"/>
        <w:rPr/>
      </w:pPr>
      <w:r>
        <w:rPr>
          <w:rFonts w:eastAsia="Arial" w:cs="Arial"/>
        </w:rPr>
        <w:t>la richiesta del pasto in bianco (se necessaria).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460" w:top="960" w:footer="460" w:bottom="9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4" w:color="D9D9D9"/>
      </w:pBdr>
      <w:tabs>
        <w:tab w:val="clear" w:pos="720"/>
        <w:tab w:val="right" w:pos="9026" w:leader="none"/>
      </w:tabs>
      <w:rPr/>
    </w:pPr>
    <w:r>
      <w:rPr>
        <w:rFonts w:eastAsia="Arial" w:cs="Arial"/>
        <w:color w:val="595959"/>
        <w:sz w:val="15"/>
        <w:szCs w:val="15"/>
      </w:rPr>
      <w:t xml:space="preserve">Ufficio Pubblica Istruzione – Servizi Sociali, via </w:t>
    </w:r>
    <w:r>
      <w:rPr>
        <w:rFonts w:eastAsia="Arial" w:cs="Arial"/>
        <w:color w:val="595959"/>
        <w:sz w:val="15"/>
        <w:szCs w:val="15"/>
      </w:rPr>
      <w:t xml:space="preserve">Caudina </w:t>
    </w:r>
    <w:r>
      <w:rPr>
        <w:rFonts w:eastAsia="Arial" w:cs="Arial"/>
        <w:color w:val="595959"/>
        <w:sz w:val="15"/>
        <w:szCs w:val="15"/>
      </w:rPr>
      <w:t>n. 325</w:t>
    </w:r>
    <w:r>
      <w:rPr>
        <w:rFonts w:eastAsia="Arial" w:cs="Arial"/>
        <w:color w:val="595959"/>
        <w:sz w:val="15"/>
        <w:szCs w:val="15"/>
      </w:rPr>
      <w:t>, edificio Palazzo Giudice di Pace 1° pian</w:t>
    </w:r>
    <w:r>
      <w:rPr>
        <w:rFonts w:eastAsia="Arial" w:cs="Arial"/>
        <w:color w:val="595959"/>
        <w:sz w:val="15"/>
        <w:szCs w:val="15"/>
      </w:rPr>
      <w:t>o</w:t>
    </w:r>
    <w:r>
      <w:rPr>
        <w:rFonts w:eastAsia="Arial" w:cs="Arial"/>
        <w:color w:val="595959"/>
        <w:sz w:val="15"/>
        <w:szCs w:val="15"/>
      </w:rPr>
      <w:t xml:space="preserve">  ·  tel. 0823 433663/433661</w:t>
    </w:r>
    <w:r>
      <w:rPr>
        <w:rFonts w:eastAsia="Arial" w:cs="Arial"/>
      </w:rPr>
      <w:tab/>
    </w:r>
    <w:r>
      <w:rPr>
        <w:rFonts w:eastAsia="Arial" w:cs="Arial"/>
        <w:color w:val="595959"/>
        <w:sz w:val="15"/>
        <w:szCs w:val="15"/>
      </w:rPr>
      <w:t xml:space="preserve">Pag. </w:t>
    </w:r>
    <w:r>
      <w:rPr>
        <w:rFonts w:eastAsia="Arial" w:cs="Arial"/>
      </w:rPr>
      <w:fldChar w:fldCharType="begin"/>
    </w:r>
    <w:r>
      <w:rPr>
        <w:rFonts w:eastAsia="Arial" w:cs="Arial"/>
      </w:rPr>
      <w:instrText xml:space="preserve"> PAGE </w:instrText>
    </w:r>
    <w:r>
      <w:rPr>
        <w:rFonts w:eastAsia="Arial" w:cs="Arial"/>
      </w:rPr>
      <w:fldChar w:fldCharType="separate"/>
    </w:r>
    <w:r>
      <w:rPr>
        <w:rFonts w:eastAsia="Arial" w:cs="Arial"/>
      </w:rPr>
      <w:t>1</w:t>
    </w:r>
    <w:r>
      <w:rPr>
        <w:rFonts w:eastAsia="Arial" w:cs="Arial"/>
      </w:rPr>
      <w:fldChar w:fldCharType="end"/>
    </w:r>
    <w:r>
      <w:rPr>
        <w:rFonts w:eastAsia="Arial" w:cs="Arial"/>
        <w:color w:val="595959"/>
        <w:sz w:val="15"/>
        <w:szCs w:val="15"/>
      </w:rPr>
      <w:t xml:space="preserve"> di </w:t>
    </w:r>
    <w:r>
      <w:rPr>
        <w:rFonts w:eastAsia="Arial" w:cs="Arial"/>
      </w:rPr>
      <w:fldChar w:fldCharType="begin"/>
    </w:r>
    <w:r>
      <w:rPr>
        <w:rFonts w:eastAsia="Arial" w:cs="Arial"/>
      </w:rPr>
      <w:instrText xml:space="preserve"> NUMPAGES </w:instrText>
    </w:r>
    <w:r>
      <w:rPr>
        <w:rFonts w:eastAsia="Arial" w:cs="Arial"/>
      </w:rPr>
      <w:fldChar w:fldCharType="separate"/>
    </w:r>
    <w:r>
      <w:rPr>
        <w:rFonts w:eastAsia="Arial" w:cs="Arial"/>
      </w:rPr>
      <w:t>2</w:t>
    </w:r>
    <w:r>
      <w:rPr>
        <w:rFonts w:eastAsia="Arial" w:cs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4" w:color="D9D9D9"/>
      </w:pBdr>
      <w:tabs>
        <w:tab w:val="clear" w:pos="720"/>
        <w:tab w:val="right" w:pos="9026" w:leader="none"/>
      </w:tabs>
      <w:rPr/>
    </w:pPr>
    <w:r>
      <w:rPr>
        <w:rFonts w:eastAsia="Arial" w:cs="Arial"/>
        <w:color w:val="595959"/>
        <w:sz w:val="15"/>
        <w:szCs w:val="15"/>
      </w:rPr>
      <w:t xml:space="preserve">Ufficio Pubblica Istruzione – Servizi Sociali, via </w:t>
    </w:r>
    <w:r>
      <w:rPr>
        <w:rFonts w:eastAsia="Arial" w:cs="Arial"/>
        <w:color w:val="595959"/>
        <w:sz w:val="15"/>
        <w:szCs w:val="15"/>
      </w:rPr>
      <w:t xml:space="preserve">Caudina </w:t>
    </w:r>
    <w:r>
      <w:rPr>
        <w:rFonts w:eastAsia="Arial" w:cs="Arial"/>
        <w:color w:val="595959"/>
        <w:sz w:val="15"/>
        <w:szCs w:val="15"/>
      </w:rPr>
      <w:t>n. 325</w:t>
    </w:r>
    <w:r>
      <w:rPr>
        <w:rFonts w:eastAsia="Arial" w:cs="Arial"/>
        <w:color w:val="595959"/>
        <w:sz w:val="15"/>
        <w:szCs w:val="15"/>
      </w:rPr>
      <w:t>, edificio Palazzo Giudice di Pace 1° pian</w:t>
    </w:r>
    <w:r>
      <w:rPr>
        <w:rFonts w:eastAsia="Arial" w:cs="Arial"/>
        <w:color w:val="595959"/>
        <w:sz w:val="15"/>
        <w:szCs w:val="15"/>
      </w:rPr>
      <w:t>o</w:t>
    </w:r>
    <w:r>
      <w:rPr>
        <w:rFonts w:eastAsia="Arial" w:cs="Arial"/>
        <w:color w:val="595959"/>
        <w:sz w:val="15"/>
        <w:szCs w:val="15"/>
      </w:rPr>
      <w:t xml:space="preserve">  ·  tel. 0823 433663/433661</w:t>
    </w:r>
    <w:r>
      <w:rPr>
        <w:rFonts w:eastAsia="Arial" w:cs="Arial"/>
      </w:rPr>
      <w:tab/>
    </w:r>
    <w:r>
      <w:rPr>
        <w:rFonts w:eastAsia="Arial" w:cs="Arial"/>
        <w:color w:val="595959"/>
        <w:sz w:val="15"/>
        <w:szCs w:val="15"/>
      </w:rPr>
      <w:t xml:space="preserve">Pag. </w:t>
    </w:r>
    <w:r>
      <w:rPr>
        <w:rFonts w:eastAsia="Arial" w:cs="Arial"/>
      </w:rPr>
      <w:fldChar w:fldCharType="begin"/>
    </w:r>
    <w:r>
      <w:rPr>
        <w:rFonts w:eastAsia="Arial" w:cs="Arial"/>
      </w:rPr>
      <w:instrText xml:space="preserve"> PAGE </w:instrText>
    </w:r>
    <w:r>
      <w:rPr>
        <w:rFonts w:eastAsia="Arial" w:cs="Arial"/>
      </w:rPr>
      <w:fldChar w:fldCharType="separate"/>
    </w:r>
    <w:r>
      <w:rPr>
        <w:rFonts w:eastAsia="Arial" w:cs="Arial"/>
      </w:rPr>
      <w:t>1</w:t>
    </w:r>
    <w:r>
      <w:rPr>
        <w:rFonts w:eastAsia="Arial" w:cs="Arial"/>
      </w:rPr>
      <w:fldChar w:fldCharType="end"/>
    </w:r>
    <w:r>
      <w:rPr>
        <w:rFonts w:eastAsia="Arial" w:cs="Arial"/>
        <w:color w:val="595959"/>
        <w:sz w:val="15"/>
        <w:szCs w:val="15"/>
      </w:rPr>
      <w:t xml:space="preserve"> di </w:t>
    </w:r>
    <w:r>
      <w:rPr>
        <w:rFonts w:eastAsia="Arial" w:cs="Arial"/>
      </w:rPr>
      <w:fldChar w:fldCharType="begin"/>
    </w:r>
    <w:r>
      <w:rPr>
        <w:rFonts w:eastAsia="Arial" w:cs="Arial"/>
      </w:rPr>
      <w:instrText xml:space="preserve"> NUMPAGES </w:instrText>
    </w:r>
    <w:r>
      <w:rPr>
        <w:rFonts w:eastAsia="Arial" w:cs="Arial"/>
      </w:rPr>
      <w:fldChar w:fldCharType="separate"/>
    </w:r>
    <w:r>
      <w:rPr>
        <w:rFonts w:eastAsia="Arial" w:cs="Arial"/>
      </w:rPr>
      <w:t>2</w:t>
    </w:r>
    <w:r>
      <w:rPr>
        <w:rFonts w:eastAsia="Arial" w:cs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4" w:color="2E5C8A"/>
      </w:pBdr>
      <w:spacing w:before="0" w:after="0"/>
      <w:jc w:val="center"/>
      <w:rPr/>
    </w:pPr>
    <w:r>
      <w:rPr>
        <w:rFonts w:eastAsia="Arial" w:cs="Arial"/>
        <w:b/>
        <w:bCs/>
        <w:color w:val="1F3864"/>
        <w:sz w:val="20"/>
        <w:szCs w:val="20"/>
      </w:rPr>
      <w:t>COMUNE DI MADDALONI</w:t>
    </w:r>
  </w:p>
  <w:p>
    <w:pPr>
      <w:pStyle w:val="Normal"/>
      <w:spacing w:before="0" w:after="0"/>
      <w:jc w:val="center"/>
      <w:rPr/>
    </w:pPr>
    <w:r>
      <w:rPr>
        <w:rFonts w:eastAsia="Arial" w:cs="Arial"/>
        <w:color w:val="595959"/>
        <w:sz w:val="16"/>
        <w:szCs w:val="16"/>
      </w:rPr>
      <w:t>Provincia di Caserta  ·  Area 1 – Servizi alla Persona  ·  Pubblica Istruzione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4" w:color="2E5C8A"/>
      </w:pBdr>
      <w:spacing w:before="0" w:after="0"/>
      <w:jc w:val="center"/>
      <w:rPr/>
    </w:pPr>
    <w:r>
      <w:rPr>
        <w:rFonts w:eastAsia="Arial" w:cs="Arial"/>
        <w:b/>
        <w:bCs/>
        <w:color w:val="1F3864"/>
        <w:sz w:val="20"/>
        <w:szCs w:val="20"/>
      </w:rPr>
      <w:t>COMUNE DI MADDALONI</w:t>
    </w:r>
  </w:p>
  <w:p>
    <w:pPr>
      <w:pStyle w:val="Normal"/>
      <w:spacing w:before="0" w:after="0"/>
      <w:jc w:val="center"/>
      <w:rPr/>
    </w:pPr>
    <w:r>
      <w:rPr>
        <w:rFonts w:eastAsia="Arial" w:cs="Arial"/>
        <w:color w:val="595959"/>
        <w:sz w:val="16"/>
        <w:szCs w:val="16"/>
      </w:rPr>
      <w:t>Provincia di Caserta  ·  Area 1 – Servizi alla Persona  ·  Pubblica Istruzione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480" w:hanging="260"/>
      </w:pPr>
      <w:rPr>
        <w:rFonts w:ascii="Arial" w:hAnsi="Arial" w:cs="Arial" w:hint="default"/>
        <w:color w:val="2E5C8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•"/>
      <w:lvlJc w:val="start"/>
      <w:pPr>
        <w:tabs>
          <w:tab w:val="num" w:pos="0"/>
        </w:tabs>
        <w:ind w:start="480" w:hanging="260"/>
      </w:pPr>
      <w:rPr>
        <w:rFonts w:ascii="Arial" w:hAnsi="Arial" w:cs="Arial" w:hint="default"/>
        <w:color w:val="2E5C8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262626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262626"/>
      <w:kern w:val="0"/>
      <w:sz w:val="22"/>
      <w:szCs w:val="22"/>
      <w:lang w:val="it-IT" w:eastAsia="zh-CN" w:bidi="hi-IN"/>
    </w:rPr>
  </w:style>
  <w:style w:type="paragraph" w:styleId="Heading1">
    <w:name w:val="heading 1"/>
    <w:basedOn w:val="Titolouser"/>
    <w:qFormat/>
    <w:pPr>
      <w:spacing w:before="0" w:after="200"/>
      <w:outlineLvl w:val="0"/>
    </w:pPr>
    <w:rPr>
      <w:rFonts w:ascii="Arial" w:hAnsi="Arial" w:eastAsia="Arial" w:cs="Arial"/>
      <w:b/>
      <w:bCs/>
      <w:color w:val="1F3864"/>
      <w:sz w:val="30"/>
      <w:szCs w:val="30"/>
    </w:rPr>
  </w:style>
  <w:style w:type="paragraph" w:styleId="Heading2">
    <w:name w:val="heading 2"/>
    <w:basedOn w:val="Titolouser"/>
    <w:qFormat/>
    <w:pPr>
      <w:outlineLvl w:val="1"/>
    </w:pPr>
    <w:rPr>
      <w:rFonts w:ascii="Arial" w:hAnsi="Arial" w:eastAsia="Arial" w:cs="Arial"/>
      <w:b/>
      <w:bCs/>
      <w:color w:val="1F3864"/>
      <w:sz w:val="24"/>
      <w:szCs w:val="24"/>
    </w:rPr>
  </w:style>
  <w:style w:type="paragraph" w:styleId="Heading3">
    <w:name w:val="heading 3"/>
    <w:basedOn w:val="Titolouser"/>
    <w:qFormat/>
    <w:pPr/>
    <w:rPr>
      <w:color w:val="1F4D78"/>
      <w:sz w:val="24"/>
      <w:szCs w:val="24"/>
    </w:rPr>
  </w:style>
  <w:style w:type="paragraph" w:styleId="Heading4">
    <w:name w:val="heading 4"/>
    <w:basedOn w:val="Titolouser"/>
    <w:qFormat/>
    <w:pPr/>
    <w:rPr>
      <w:i/>
      <w:iCs/>
      <w:color w:val="2E74B5"/>
    </w:rPr>
  </w:style>
  <w:style w:type="paragraph" w:styleId="Heading5">
    <w:name w:val="heading 5"/>
    <w:basedOn w:val="Titolouser"/>
    <w:qFormat/>
    <w:pPr/>
    <w:rPr>
      <w:color w:val="2E74B5"/>
    </w:rPr>
  </w:style>
  <w:style w:type="paragraph" w:styleId="Heading6">
    <w:name w:val="heading 6"/>
    <w:basedOn w:val="Titolouser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user">
    <w:name w:val="Caratteri nota a piè di pagina (user)"/>
    <w:uiPriority w:val="99"/>
    <w:semiHidden/>
    <w:unhideWhenUsed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user">
    <w:name w:val="Caratteri nota di chiusura (user)"/>
    <w:uiPriority w:val="99"/>
    <w:semiHidden/>
    <w:unhideWhenUsed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olouser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b/>
      <w:bCs/>
      <w:color w:val="262626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262626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ternetlink">
    <w:name w:val="Internet link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2E5C8A"/>
      <w:kern w:val="0"/>
      <w:sz w:val="22"/>
      <w:szCs w:val="22"/>
      <w:u w:val="single" w:color="2E5C8A"/>
      <w:lang w:val="it-IT" w:eastAsia="zh-CN" w:bidi="hi-IN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Footer">
    <w:name w:val="footer"/>
    <w:basedOn w:val="Intestazioneepidipaginaus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3.eticasoluzioni.com/maddaloniportalegen" TargetMode="External"/><Relationship Id="rId3" Type="http://schemas.openxmlformats.org/officeDocument/2006/relationships/hyperlink" Target="https://www.comune.maddaloni.caserta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LibreOffice/26.2.3.2$Windows_X86_64 LibreOffice_project/70e089b17412e4cb7773e41413306b17a2328c34</Application>
  <AppVersion>15.0000</AppVersion>
  <Pages>2</Pages>
  <Words>702</Words>
  <Characters>3860</Characters>
  <CharactersWithSpaces>4496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2026-06-17T07:29:10Z</dcterms:created>
  <dc:creator>Un-named</dc:creator>
  <dc:description/>
  <dc:language>it-IT</dc:language>
  <cp:lastModifiedBy/>
  <dcterms:modified xsi:type="dcterms:W3CDTF">2026-06-18T08:34:53Z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